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365" w:rsidRPr="003E48A1" w:rsidRDefault="002E6365" w:rsidP="009E79B0">
      <w:pPr>
        <w:spacing w:line="240" w:lineRule="auto"/>
        <w:jc w:val="both"/>
        <w:rPr>
          <w:rFonts w:ascii="Times New Roman" w:hAnsi="Times New Roman"/>
          <w:sz w:val="24"/>
          <w:szCs w:val="24"/>
          <w:lang w:val="es-ES_tradnl"/>
        </w:rPr>
      </w:pPr>
    </w:p>
    <w:p w:rsidR="002E6365" w:rsidRPr="003E48A1" w:rsidRDefault="002E6365" w:rsidP="009E79B0">
      <w:pPr>
        <w:spacing w:line="240" w:lineRule="auto"/>
        <w:jc w:val="both"/>
        <w:rPr>
          <w:rFonts w:ascii="Times New Roman" w:hAnsi="Times New Roman"/>
          <w:sz w:val="24"/>
          <w:szCs w:val="24"/>
          <w:lang w:val="es-ES_tradnl"/>
        </w:rPr>
      </w:pPr>
      <w:r w:rsidRPr="003E48A1">
        <w:rPr>
          <w:rFonts w:ascii="Times New Roman" w:hAnsi="Times New Roman"/>
          <w:sz w:val="24"/>
          <w:szCs w:val="24"/>
          <w:lang w:val="es-ES_tradnl"/>
        </w:rPr>
        <w:t>CLUB DEPORTIVO UNIÓN SAN FELIPE S.A.D.P.</w:t>
      </w:r>
    </w:p>
    <w:p w:rsidR="002E6365" w:rsidRPr="003E48A1" w:rsidRDefault="002E6365" w:rsidP="009E79B0">
      <w:pPr>
        <w:spacing w:line="240" w:lineRule="auto"/>
        <w:jc w:val="both"/>
        <w:rPr>
          <w:rFonts w:ascii="Times New Roman" w:hAnsi="Times New Roman"/>
          <w:sz w:val="24"/>
          <w:szCs w:val="24"/>
          <w:lang w:val="es-ES_tradnl"/>
        </w:rPr>
      </w:pPr>
      <w:r w:rsidRPr="003E48A1">
        <w:rPr>
          <w:rFonts w:ascii="Times New Roman" w:hAnsi="Times New Roman"/>
          <w:sz w:val="24"/>
          <w:szCs w:val="24"/>
          <w:lang w:val="es-ES_tradnl"/>
        </w:rPr>
        <w:t>Navarro 1101.  San Felipe</w:t>
      </w:r>
    </w:p>
    <w:p w:rsidR="002E6365" w:rsidRPr="003E48A1" w:rsidRDefault="002E6365" w:rsidP="009E79B0">
      <w:pPr>
        <w:spacing w:line="240" w:lineRule="auto"/>
        <w:jc w:val="both"/>
        <w:rPr>
          <w:rFonts w:ascii="Times New Roman" w:hAnsi="Times New Roman"/>
          <w:sz w:val="24"/>
          <w:szCs w:val="24"/>
          <w:lang w:val="es-ES_tradnl"/>
        </w:rPr>
      </w:pPr>
      <w:r w:rsidRPr="003E48A1">
        <w:rPr>
          <w:rFonts w:ascii="Times New Roman" w:hAnsi="Times New Roman"/>
          <w:sz w:val="24"/>
          <w:szCs w:val="24"/>
          <w:lang w:val="es-ES_tradnl"/>
        </w:rPr>
        <w:t>RUT 76.503.050-1</w:t>
      </w:r>
    </w:p>
    <w:p w:rsidR="002E6365" w:rsidRPr="003E48A1" w:rsidRDefault="002E6365" w:rsidP="009E79B0">
      <w:pPr>
        <w:pBdr>
          <w:top w:val="single" w:sz="4" w:space="1" w:color="auto"/>
        </w:pBdr>
        <w:spacing w:line="240" w:lineRule="auto"/>
        <w:jc w:val="both"/>
        <w:rPr>
          <w:rFonts w:ascii="Times New Roman" w:hAnsi="Times New Roman"/>
          <w:sz w:val="24"/>
          <w:szCs w:val="24"/>
          <w:lang w:val="es-ES_tradnl"/>
        </w:rPr>
      </w:pPr>
      <w:r w:rsidRPr="003E48A1">
        <w:rPr>
          <w:rFonts w:ascii="Times New Roman" w:hAnsi="Times New Roman"/>
          <w:sz w:val="24"/>
          <w:szCs w:val="24"/>
          <w:lang w:val="es-ES_tradnl"/>
        </w:rPr>
        <w:t>Publicación de Estados Financieros al 31 de diciembre de 2013 (En miles de pesos)</w:t>
      </w:r>
    </w:p>
    <w:p w:rsidR="002E6365" w:rsidRPr="00B57DA1" w:rsidRDefault="002E6365" w:rsidP="009E79B0">
      <w:pPr>
        <w:spacing w:line="240" w:lineRule="auto"/>
        <w:jc w:val="both"/>
        <w:rPr>
          <w:rFonts w:ascii="Arial" w:hAnsi="Arial" w:cs="Arial"/>
          <w:sz w:val="24"/>
          <w:szCs w:val="24"/>
          <w:lang w:val="es-ES_tradnl"/>
        </w:rPr>
      </w:pPr>
    </w:p>
    <w:p w:rsidR="002E6365" w:rsidRPr="00BD34CA" w:rsidRDefault="002E6365" w:rsidP="009E79B0">
      <w:pPr>
        <w:spacing w:line="240" w:lineRule="auto"/>
        <w:jc w:val="both"/>
        <w:rPr>
          <w:rFonts w:ascii="Arial" w:hAnsi="Arial" w:cs="Arial"/>
          <w:b/>
          <w:sz w:val="24"/>
          <w:szCs w:val="24"/>
          <w:lang w:val="es-ES_tradnl"/>
        </w:rPr>
      </w:pPr>
      <w:r w:rsidRPr="0036577B">
        <w:rPr>
          <w:rFonts w:ascii="Arial" w:hAnsi="Arial" w:cs="Arial"/>
          <w:b/>
          <w:sz w:val="24"/>
          <w:szCs w:val="24"/>
          <w:lang w:val="es-ES_tradnl"/>
        </w:rPr>
        <w:object w:dxaOrig="8567" w:dyaOrig="30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25pt;height:151.5pt" o:ole="">
            <v:imagedata r:id="rId5" o:title=""/>
          </v:shape>
          <o:OLEObject Type="Embed" ProgID="Excel.Sheet.12" ShapeID="_x0000_i1025" DrawAspect="Content" ObjectID="_1460786561" r:id="rId6"/>
        </w:object>
      </w:r>
    </w:p>
    <w:p w:rsidR="002E6365" w:rsidRDefault="002E6365" w:rsidP="009E79B0">
      <w:pPr>
        <w:spacing w:line="240" w:lineRule="auto"/>
        <w:jc w:val="both"/>
        <w:rPr>
          <w:rFonts w:ascii="Arial" w:hAnsi="Arial" w:cs="Arial"/>
          <w:b/>
          <w:sz w:val="24"/>
          <w:szCs w:val="24"/>
          <w:lang w:val="es-ES_tradnl"/>
        </w:rPr>
      </w:pPr>
      <w:r w:rsidRPr="0036577B">
        <w:rPr>
          <w:rFonts w:ascii="Arial" w:hAnsi="Arial" w:cs="Arial"/>
          <w:b/>
          <w:sz w:val="24"/>
          <w:szCs w:val="24"/>
          <w:lang w:val="es-ES_tradnl"/>
        </w:rPr>
        <w:object w:dxaOrig="8567" w:dyaOrig="3239">
          <v:shape id="_x0000_i1026" type="#_x0000_t75" style="width:428.25pt;height:162pt" o:ole="">
            <v:imagedata r:id="rId7" o:title=""/>
          </v:shape>
          <o:OLEObject Type="Embed" ProgID="Excel.Sheet.12" ShapeID="_x0000_i1026" DrawAspect="Content" ObjectID="_1460786562" r:id="rId8"/>
        </w:object>
      </w:r>
    </w:p>
    <w:p w:rsidR="002E6365" w:rsidRPr="00F70101" w:rsidRDefault="002E6365" w:rsidP="009E79B0">
      <w:pPr>
        <w:spacing w:line="240" w:lineRule="auto"/>
        <w:jc w:val="both"/>
        <w:rPr>
          <w:rFonts w:ascii="Arial" w:hAnsi="Arial" w:cs="Arial"/>
          <w:b/>
          <w:sz w:val="24"/>
          <w:szCs w:val="24"/>
          <w:lang w:val="es-ES_tradnl"/>
        </w:rPr>
      </w:pPr>
      <w:r w:rsidRPr="0036577B">
        <w:rPr>
          <w:rFonts w:ascii="Arial" w:hAnsi="Arial" w:cs="Arial"/>
          <w:b/>
          <w:sz w:val="24"/>
          <w:szCs w:val="24"/>
          <w:lang w:val="es-ES_tradnl"/>
        </w:rPr>
        <w:object w:dxaOrig="8728" w:dyaOrig="3523">
          <v:shape id="_x0000_i1027" type="#_x0000_t75" style="width:436.5pt;height:176.25pt" o:ole="">
            <v:imagedata r:id="rId9" o:title=""/>
          </v:shape>
          <o:OLEObject Type="Embed" ProgID="Excel.Sheet.12" ShapeID="_x0000_i1027" DrawAspect="Content" ObjectID="_1460786563" r:id="rId10"/>
        </w:object>
      </w:r>
    </w:p>
    <w:p w:rsidR="002E6365" w:rsidRPr="003E48A1" w:rsidRDefault="002E6365" w:rsidP="003E48A1">
      <w:pPr>
        <w:spacing w:line="240" w:lineRule="auto"/>
        <w:jc w:val="both"/>
        <w:rPr>
          <w:rFonts w:ascii="Times New Roman" w:hAnsi="Times New Roman"/>
          <w:sz w:val="20"/>
          <w:szCs w:val="20"/>
          <w:lang w:val="es-ES_tradnl"/>
        </w:rPr>
      </w:pPr>
      <w:r w:rsidRPr="0036577B">
        <w:rPr>
          <w:rFonts w:ascii="Arial" w:hAnsi="Arial" w:cs="Arial"/>
          <w:sz w:val="24"/>
          <w:szCs w:val="24"/>
          <w:lang w:val="es-ES_tradnl"/>
        </w:rPr>
        <w:object w:dxaOrig="8567" w:dyaOrig="2504">
          <v:shape id="_x0000_i1028" type="#_x0000_t75" style="width:428.25pt;height:125.25pt" o:ole="">
            <v:imagedata r:id="rId11" o:title=""/>
          </v:shape>
          <o:OLEObject Type="Embed" ProgID="Excel.Sheet.12" ShapeID="_x0000_i1028" DrawAspect="Content" ObjectID="_1460786564" r:id="rId12"/>
        </w:object>
      </w:r>
    </w:p>
    <w:p w:rsidR="002E6365" w:rsidRPr="003E48A1" w:rsidRDefault="002E6365" w:rsidP="009E79B0">
      <w:pPr>
        <w:spacing w:line="240" w:lineRule="auto"/>
        <w:jc w:val="both"/>
        <w:rPr>
          <w:rFonts w:ascii="Times New Roman" w:hAnsi="Times New Roman"/>
          <w:b/>
          <w:sz w:val="20"/>
          <w:szCs w:val="20"/>
          <w:lang w:val="es-ES_tradnl"/>
        </w:rPr>
      </w:pPr>
      <w:r w:rsidRPr="003E48A1">
        <w:rPr>
          <w:rFonts w:ascii="Times New Roman" w:hAnsi="Times New Roman"/>
          <w:b/>
          <w:sz w:val="20"/>
          <w:szCs w:val="20"/>
          <w:lang w:val="es-ES_tradnl"/>
        </w:rPr>
        <w:t>Notas resumidas a los Estados financieros</w:t>
      </w:r>
    </w:p>
    <w:p w:rsidR="002E6365" w:rsidRPr="003E48A1" w:rsidRDefault="002E6365" w:rsidP="009E79B0">
      <w:pPr>
        <w:spacing w:line="240" w:lineRule="auto"/>
        <w:jc w:val="both"/>
        <w:rPr>
          <w:rFonts w:ascii="Times New Roman" w:hAnsi="Times New Roman"/>
          <w:sz w:val="20"/>
          <w:szCs w:val="20"/>
          <w:lang w:val="es-ES_tradnl"/>
        </w:rPr>
      </w:pPr>
      <w:r w:rsidRPr="003E48A1">
        <w:rPr>
          <w:rFonts w:ascii="Times New Roman" w:hAnsi="Times New Roman"/>
          <w:sz w:val="20"/>
          <w:szCs w:val="20"/>
          <w:lang w:val="es-ES_tradnl"/>
        </w:rPr>
        <w:t>Estas notas explicativas presentan, a juicio de la Administración, información suficiente pero menos detallada que las notas que forman parte de los estados financieros remitidos a las Superintendencia de Valores y Seguros, donde se encuentran a disposición del público en genera</w:t>
      </w:r>
      <w:r>
        <w:rPr>
          <w:rFonts w:ascii="Times New Roman" w:hAnsi="Times New Roman"/>
          <w:sz w:val="20"/>
          <w:szCs w:val="20"/>
          <w:lang w:val="es-ES_tradnl"/>
        </w:rPr>
        <w:t>l</w:t>
      </w:r>
      <w:r w:rsidRPr="003E48A1">
        <w:rPr>
          <w:rFonts w:ascii="Times New Roman" w:hAnsi="Times New Roman"/>
          <w:sz w:val="20"/>
          <w:szCs w:val="20"/>
          <w:lang w:val="es-ES_tradnl"/>
        </w:rPr>
        <w:t xml:space="preserve">. </w:t>
      </w:r>
    </w:p>
    <w:p w:rsidR="002E6365" w:rsidRPr="003E48A1" w:rsidRDefault="002E6365" w:rsidP="003E48A1">
      <w:pPr>
        <w:tabs>
          <w:tab w:val="left" w:pos="-1440"/>
          <w:tab w:val="left" w:pos="-720"/>
          <w:tab w:val="left" w:pos="1134"/>
          <w:tab w:val="center" w:pos="9648"/>
        </w:tabs>
        <w:suppressAutoHyphens/>
        <w:jc w:val="both"/>
        <w:rPr>
          <w:rFonts w:ascii="Times New Roman" w:hAnsi="Times New Roman"/>
          <w:b/>
          <w:spacing w:val="-3"/>
          <w:sz w:val="20"/>
          <w:szCs w:val="20"/>
        </w:rPr>
      </w:pPr>
      <w:r w:rsidRPr="003E48A1">
        <w:rPr>
          <w:rFonts w:ascii="Times New Roman" w:hAnsi="Times New Roman"/>
          <w:b/>
          <w:spacing w:val="-3"/>
          <w:sz w:val="20"/>
          <w:szCs w:val="20"/>
        </w:rPr>
        <w:t xml:space="preserve">1 </w:t>
      </w:r>
      <w:r>
        <w:rPr>
          <w:rFonts w:ascii="Times New Roman" w:hAnsi="Times New Roman"/>
          <w:b/>
          <w:spacing w:val="-3"/>
          <w:sz w:val="20"/>
          <w:szCs w:val="20"/>
        </w:rPr>
        <w:t>–</w:t>
      </w:r>
      <w:r w:rsidRPr="003E48A1">
        <w:rPr>
          <w:rFonts w:ascii="Times New Roman" w:hAnsi="Times New Roman"/>
          <w:b/>
          <w:spacing w:val="-3"/>
          <w:sz w:val="20"/>
          <w:szCs w:val="20"/>
        </w:rPr>
        <w:t xml:space="preserve"> </w:t>
      </w:r>
      <w:r>
        <w:rPr>
          <w:rFonts w:ascii="Times New Roman" w:hAnsi="Times New Roman"/>
          <w:b/>
          <w:spacing w:val="-3"/>
          <w:sz w:val="20"/>
          <w:szCs w:val="20"/>
        </w:rPr>
        <w:t>Información General</w:t>
      </w:r>
    </w:p>
    <w:p w:rsidR="002E6365" w:rsidRPr="003E48A1" w:rsidRDefault="002E6365" w:rsidP="003E48A1">
      <w:pPr>
        <w:jc w:val="both"/>
        <w:rPr>
          <w:rFonts w:ascii="Times New Roman" w:hAnsi="Times New Roman"/>
          <w:sz w:val="20"/>
          <w:szCs w:val="20"/>
        </w:rPr>
      </w:pPr>
      <w:r w:rsidRPr="003E48A1">
        <w:rPr>
          <w:rFonts w:ascii="Times New Roman" w:hAnsi="Times New Roman"/>
          <w:sz w:val="20"/>
          <w:szCs w:val="20"/>
        </w:rPr>
        <w:t>La Sociedad Club Deportivo Unión San Felipe S.A.D.P. es una sociedad anónima deportiva profesional fue constituida en Chile mediante escritura pública de fecha 05 de diciembre de 2005, ante el Notario Público señor Humberto Quezada Moreno  de acuerdo a la Ley N° 20.019 sobre Organizaciones Deportivas Profesionales.</w:t>
      </w:r>
    </w:p>
    <w:p w:rsidR="002E6365" w:rsidRPr="003E48A1" w:rsidRDefault="002E6365" w:rsidP="003E48A1">
      <w:pPr>
        <w:jc w:val="both"/>
        <w:rPr>
          <w:rFonts w:ascii="Times New Roman" w:hAnsi="Times New Roman"/>
          <w:sz w:val="20"/>
          <w:szCs w:val="20"/>
        </w:rPr>
      </w:pPr>
      <w:r w:rsidRPr="003E48A1">
        <w:rPr>
          <w:rFonts w:ascii="Times New Roman" w:hAnsi="Times New Roman"/>
          <w:sz w:val="20"/>
          <w:szCs w:val="20"/>
        </w:rPr>
        <w:t>El objeto de la Sociedad es, organizar, producir, comercializar y participar en actividades deportivas de carácter profesional y en otras relacionadas o derivadas de éstas. El objeto social así definido constituye el giro de la Sociedad para efectos de lo previsto en los artículos 16 y 17 de la Ley 20.019.</w:t>
      </w:r>
    </w:p>
    <w:p w:rsidR="002E6365" w:rsidRPr="000B2A1C" w:rsidRDefault="002E6365" w:rsidP="000B2A1C">
      <w:pPr>
        <w:rPr>
          <w:rFonts w:ascii="Times New Roman" w:hAnsi="Times New Roman"/>
          <w:sz w:val="20"/>
          <w:szCs w:val="20"/>
        </w:rPr>
      </w:pPr>
      <w:bookmarkStart w:id="0" w:name="_Toc365123365"/>
      <w:r>
        <w:rPr>
          <w:rFonts w:ascii="Times New Roman" w:hAnsi="Times New Roman"/>
          <w:sz w:val="20"/>
          <w:szCs w:val="20"/>
        </w:rPr>
        <w:br w:type="page"/>
      </w:r>
    </w:p>
    <w:p w:rsidR="002E6365" w:rsidRPr="003E48A1" w:rsidRDefault="002E6365" w:rsidP="003E48A1">
      <w:pPr>
        <w:rPr>
          <w:rFonts w:ascii="Times New Roman" w:hAnsi="Times New Roman"/>
          <w:b/>
          <w:sz w:val="20"/>
          <w:szCs w:val="20"/>
        </w:rPr>
      </w:pPr>
      <w:r>
        <w:rPr>
          <w:rFonts w:ascii="Times New Roman" w:hAnsi="Times New Roman"/>
          <w:b/>
          <w:sz w:val="20"/>
          <w:szCs w:val="20"/>
        </w:rPr>
        <w:t>2</w:t>
      </w:r>
      <w:r w:rsidRPr="003E48A1">
        <w:rPr>
          <w:rFonts w:ascii="Times New Roman" w:hAnsi="Times New Roman"/>
          <w:b/>
          <w:sz w:val="20"/>
          <w:szCs w:val="20"/>
        </w:rPr>
        <w:t xml:space="preserve"> - CRITERIOS CONTABLES APLICADOS</w:t>
      </w:r>
      <w:bookmarkEnd w:id="0"/>
    </w:p>
    <w:p w:rsidR="002E6365" w:rsidRPr="003E48A1" w:rsidRDefault="002E6365" w:rsidP="003E48A1">
      <w:pPr>
        <w:jc w:val="both"/>
        <w:rPr>
          <w:rFonts w:ascii="Times New Roman" w:hAnsi="Times New Roman"/>
          <w:sz w:val="20"/>
          <w:szCs w:val="20"/>
        </w:rPr>
      </w:pPr>
      <w:r w:rsidRPr="003E48A1">
        <w:rPr>
          <w:rFonts w:ascii="Times New Roman" w:hAnsi="Times New Roman"/>
          <w:sz w:val="20"/>
          <w:szCs w:val="20"/>
        </w:rPr>
        <w:t>A continuación se describen las principales políticas contables adoptadas en la preparación de estos estados financieros Individuales. Estas políticas han sido definidas en función de las NIIF vigentes al 31 de Diciembre de 2013, y han sido aplicadas de manera uniforme a todos los ejercicios que se presentan en estos estados financieros Individuales.</w:t>
      </w:r>
    </w:p>
    <w:p w:rsidR="002E6365" w:rsidRPr="00F70101" w:rsidRDefault="002E6365" w:rsidP="00F70101">
      <w:pPr>
        <w:widowControl w:val="0"/>
        <w:numPr>
          <w:ilvl w:val="1"/>
          <w:numId w:val="16"/>
        </w:numPr>
        <w:tabs>
          <w:tab w:val="left" w:pos="567"/>
        </w:tabs>
        <w:autoSpaceDE w:val="0"/>
        <w:autoSpaceDN w:val="0"/>
        <w:adjustRightInd w:val="0"/>
        <w:spacing w:after="0" w:line="240" w:lineRule="auto"/>
        <w:ind w:left="567" w:right="2915" w:hanging="567"/>
        <w:jc w:val="both"/>
        <w:rPr>
          <w:rFonts w:ascii="Times New Roman" w:hAnsi="Times New Roman"/>
          <w:b/>
          <w:spacing w:val="-3"/>
          <w:sz w:val="20"/>
          <w:szCs w:val="20"/>
        </w:rPr>
      </w:pPr>
      <w:bookmarkStart w:id="1" w:name="_Toc265080019"/>
      <w:bookmarkStart w:id="2" w:name="_Toc365123366"/>
      <w:r w:rsidRPr="00F70101">
        <w:rPr>
          <w:rFonts w:ascii="Times New Roman" w:hAnsi="Times New Roman"/>
          <w:b/>
          <w:spacing w:val="-3"/>
          <w:sz w:val="20"/>
          <w:szCs w:val="20"/>
        </w:rPr>
        <w:t>Bases de Preparación</w:t>
      </w:r>
    </w:p>
    <w:p w:rsidR="002E6365" w:rsidRPr="003E48A1" w:rsidRDefault="002E6365" w:rsidP="003E48A1">
      <w:pPr>
        <w:ind w:left="567"/>
        <w:jc w:val="both"/>
        <w:rPr>
          <w:rFonts w:ascii="Times New Roman" w:hAnsi="Times New Roman"/>
          <w:sz w:val="20"/>
          <w:szCs w:val="20"/>
        </w:rPr>
      </w:pPr>
      <w:r w:rsidRPr="003E48A1">
        <w:rPr>
          <w:rFonts w:ascii="Times New Roman" w:hAnsi="Times New Roman"/>
          <w:sz w:val="20"/>
          <w:szCs w:val="20"/>
        </w:rPr>
        <w:t>Los presentes estados financieros Individuales han sido preparados de acuerdo a las Normas Internacionales de Información Financiera, emitidas por IASB. Además se han considerado la aplicación retrospectiva completa de las normas e interpretaciones vigentes a la fecha de la primera emisión de informes financieros. Sin embargo, la NIIF 1, permite ciertas exenciones a la aplicación de normas en particular a períodos anteriores para ayudar a las empresas en el proceso de transición.</w:t>
      </w:r>
    </w:p>
    <w:p w:rsidR="002E6365" w:rsidRPr="003E48A1" w:rsidRDefault="002E6365" w:rsidP="00F70101">
      <w:pPr>
        <w:widowControl w:val="0"/>
        <w:numPr>
          <w:ilvl w:val="1"/>
          <w:numId w:val="16"/>
        </w:numPr>
        <w:tabs>
          <w:tab w:val="left" w:pos="567"/>
        </w:tabs>
        <w:autoSpaceDE w:val="0"/>
        <w:autoSpaceDN w:val="0"/>
        <w:adjustRightInd w:val="0"/>
        <w:spacing w:after="0" w:line="240" w:lineRule="auto"/>
        <w:ind w:left="426" w:right="2915" w:hanging="426"/>
        <w:jc w:val="both"/>
        <w:rPr>
          <w:rFonts w:ascii="Times New Roman" w:hAnsi="Times New Roman"/>
          <w:b/>
          <w:spacing w:val="-3"/>
          <w:sz w:val="20"/>
          <w:szCs w:val="20"/>
        </w:rPr>
      </w:pPr>
      <w:r w:rsidRPr="003E48A1">
        <w:rPr>
          <w:rFonts w:ascii="Times New Roman" w:hAnsi="Times New Roman"/>
          <w:b/>
          <w:spacing w:val="-3"/>
          <w:sz w:val="20"/>
          <w:szCs w:val="20"/>
        </w:rPr>
        <w:t>Periodo Contable</w:t>
      </w:r>
    </w:p>
    <w:p w:rsidR="002E6365" w:rsidRPr="003E48A1" w:rsidRDefault="002E6365" w:rsidP="003E48A1">
      <w:pPr>
        <w:tabs>
          <w:tab w:val="left" w:pos="567"/>
        </w:tabs>
        <w:ind w:left="567"/>
        <w:jc w:val="both"/>
        <w:rPr>
          <w:rFonts w:ascii="Times New Roman" w:hAnsi="Times New Roman"/>
          <w:sz w:val="20"/>
          <w:szCs w:val="20"/>
        </w:rPr>
      </w:pPr>
      <w:r w:rsidRPr="003E48A1">
        <w:rPr>
          <w:rFonts w:ascii="Times New Roman" w:hAnsi="Times New Roman"/>
          <w:sz w:val="20"/>
          <w:szCs w:val="20"/>
        </w:rPr>
        <w:t xml:space="preserve">Los presentes estados financieros Individuales cubren los siguientes periodos: </w:t>
      </w:r>
    </w:p>
    <w:p w:rsidR="002E6365" w:rsidRPr="000B2A1C" w:rsidRDefault="002E6365" w:rsidP="003E48A1">
      <w:pPr>
        <w:numPr>
          <w:ilvl w:val="0"/>
          <w:numId w:val="4"/>
        </w:numPr>
        <w:tabs>
          <w:tab w:val="left" w:pos="709"/>
        </w:tabs>
        <w:spacing w:after="0" w:line="240" w:lineRule="auto"/>
        <w:ind w:left="709" w:hanging="142"/>
        <w:jc w:val="both"/>
        <w:rPr>
          <w:rFonts w:ascii="Times New Roman" w:hAnsi="Times New Roman"/>
          <w:sz w:val="20"/>
          <w:szCs w:val="20"/>
        </w:rPr>
      </w:pPr>
      <w:r w:rsidRPr="000B2A1C">
        <w:rPr>
          <w:rFonts w:ascii="Times New Roman" w:hAnsi="Times New Roman"/>
          <w:sz w:val="20"/>
          <w:szCs w:val="20"/>
        </w:rPr>
        <w:t>Estados de Situación Financiera al 31 de diciembre de 2013, al 31 de diciembre Estados de Resultados Integrales por los períodos de doce meses terminados al 31 de diciembre de 2013 y 31 de diciembre de 2012.</w:t>
      </w:r>
    </w:p>
    <w:p w:rsidR="002E6365" w:rsidRPr="003E48A1" w:rsidRDefault="002E6365" w:rsidP="003E48A1">
      <w:pPr>
        <w:pStyle w:val="ListParagraph"/>
        <w:numPr>
          <w:ilvl w:val="0"/>
          <w:numId w:val="4"/>
        </w:numPr>
        <w:tabs>
          <w:tab w:val="left" w:pos="709"/>
        </w:tabs>
        <w:ind w:left="709" w:hanging="142"/>
        <w:jc w:val="both"/>
        <w:rPr>
          <w:sz w:val="20"/>
          <w:szCs w:val="20"/>
          <w:lang w:val="es-CL"/>
        </w:rPr>
      </w:pPr>
      <w:r w:rsidRPr="003E48A1">
        <w:rPr>
          <w:sz w:val="20"/>
          <w:szCs w:val="20"/>
          <w:lang w:val="es-CL"/>
        </w:rPr>
        <w:t>Estados de Cambios en el Patrimonio por los períodos de doce meses terminados el 31 de diciembre de 2013 y 2012.</w:t>
      </w:r>
    </w:p>
    <w:p w:rsidR="002E6365" w:rsidRPr="003E48A1" w:rsidRDefault="002E6365" w:rsidP="003E48A1">
      <w:pPr>
        <w:pStyle w:val="ListParagraph"/>
        <w:numPr>
          <w:ilvl w:val="0"/>
          <w:numId w:val="4"/>
        </w:numPr>
        <w:tabs>
          <w:tab w:val="left" w:pos="709"/>
        </w:tabs>
        <w:ind w:left="709" w:hanging="142"/>
        <w:jc w:val="both"/>
        <w:rPr>
          <w:sz w:val="20"/>
          <w:szCs w:val="20"/>
          <w:lang w:val="es-CL"/>
        </w:rPr>
      </w:pPr>
      <w:r w:rsidRPr="003E48A1">
        <w:rPr>
          <w:sz w:val="20"/>
          <w:szCs w:val="20"/>
          <w:lang w:val="es-CL"/>
        </w:rPr>
        <w:t xml:space="preserve">Estados de Flujos de Efectivo Indirectos por los períodos de doce meses terminados el 31 de diciembre de 2013 y 2012. </w:t>
      </w:r>
    </w:p>
    <w:p w:rsidR="002E6365" w:rsidRPr="003E48A1" w:rsidRDefault="002E6365" w:rsidP="003E48A1">
      <w:pPr>
        <w:pStyle w:val="ListParagraph"/>
        <w:tabs>
          <w:tab w:val="left" w:pos="567"/>
        </w:tabs>
        <w:autoSpaceDE w:val="0"/>
        <w:autoSpaceDN w:val="0"/>
        <w:adjustRightInd w:val="0"/>
        <w:ind w:left="567"/>
        <w:jc w:val="both"/>
        <w:rPr>
          <w:b/>
          <w:spacing w:val="-3"/>
          <w:sz w:val="20"/>
          <w:szCs w:val="20"/>
          <w:lang w:val="es-CL"/>
        </w:rPr>
      </w:pPr>
    </w:p>
    <w:p w:rsidR="002E6365" w:rsidRPr="003E48A1" w:rsidRDefault="002E6365" w:rsidP="00F70101">
      <w:pPr>
        <w:pStyle w:val="ListParagraph"/>
        <w:numPr>
          <w:ilvl w:val="1"/>
          <w:numId w:val="16"/>
        </w:numPr>
        <w:tabs>
          <w:tab w:val="left" w:pos="567"/>
        </w:tabs>
        <w:autoSpaceDE w:val="0"/>
        <w:autoSpaceDN w:val="0"/>
        <w:adjustRightInd w:val="0"/>
        <w:ind w:left="567" w:hanging="567"/>
        <w:jc w:val="both"/>
        <w:rPr>
          <w:b/>
          <w:spacing w:val="-3"/>
          <w:sz w:val="20"/>
          <w:szCs w:val="20"/>
          <w:lang w:val="es-CL"/>
        </w:rPr>
      </w:pPr>
      <w:bookmarkStart w:id="3" w:name="_Toc365123370"/>
      <w:bookmarkEnd w:id="1"/>
      <w:bookmarkEnd w:id="2"/>
      <w:r w:rsidRPr="003E48A1">
        <w:rPr>
          <w:b/>
          <w:spacing w:val="-3"/>
          <w:sz w:val="20"/>
          <w:szCs w:val="20"/>
          <w:lang w:val="es-CL"/>
        </w:rPr>
        <w:t>Moneda Funcional y de Presentación</w:t>
      </w:r>
      <w:bookmarkEnd w:id="3"/>
    </w:p>
    <w:p w:rsidR="002E6365" w:rsidRPr="003E48A1" w:rsidRDefault="002E6365" w:rsidP="003E48A1">
      <w:pPr>
        <w:autoSpaceDE w:val="0"/>
        <w:autoSpaceDN w:val="0"/>
        <w:adjustRightInd w:val="0"/>
        <w:ind w:left="567"/>
        <w:jc w:val="both"/>
        <w:rPr>
          <w:rFonts w:ascii="Times New Roman" w:hAnsi="Times New Roman"/>
          <w:spacing w:val="-2"/>
          <w:sz w:val="20"/>
          <w:szCs w:val="20"/>
        </w:rPr>
      </w:pPr>
      <w:r w:rsidRPr="003E48A1">
        <w:rPr>
          <w:rFonts w:ascii="Times New Roman" w:hAnsi="Times New Roman"/>
          <w:spacing w:val="-2"/>
          <w:sz w:val="20"/>
          <w:szCs w:val="20"/>
        </w:rPr>
        <w:t>Los estados financieros individuales de Club Deportivo Unión San Felipe S.A.D.P. se presentan en miles de pesos chilenos, que es la moneda funcional y de presentación de la Sociedad.</w:t>
      </w:r>
    </w:p>
    <w:p w:rsidR="002E6365" w:rsidRPr="00F70101" w:rsidRDefault="002E6365" w:rsidP="00F70101">
      <w:pPr>
        <w:pStyle w:val="ListParagraph"/>
        <w:numPr>
          <w:ilvl w:val="1"/>
          <w:numId w:val="16"/>
        </w:numPr>
        <w:tabs>
          <w:tab w:val="left" w:pos="567"/>
        </w:tabs>
        <w:autoSpaceDE w:val="0"/>
        <w:autoSpaceDN w:val="0"/>
        <w:adjustRightInd w:val="0"/>
        <w:ind w:left="567" w:hanging="567"/>
        <w:jc w:val="both"/>
        <w:rPr>
          <w:b/>
          <w:spacing w:val="-2"/>
          <w:sz w:val="20"/>
          <w:szCs w:val="20"/>
        </w:rPr>
      </w:pPr>
      <w:bookmarkStart w:id="4" w:name="_Toc365123372"/>
      <w:bookmarkStart w:id="5" w:name="_Toc365123374"/>
      <w:r w:rsidRPr="00F70101">
        <w:rPr>
          <w:b/>
          <w:spacing w:val="-3"/>
          <w:sz w:val="20"/>
          <w:szCs w:val="20"/>
          <w:lang w:val="es-CL"/>
        </w:rPr>
        <w:t>Base de conversión</w:t>
      </w:r>
      <w:bookmarkEnd w:id="4"/>
    </w:p>
    <w:p w:rsidR="002E6365" w:rsidRPr="003E48A1" w:rsidRDefault="002E6365" w:rsidP="000B2A1C">
      <w:pPr>
        <w:autoSpaceDE w:val="0"/>
        <w:autoSpaceDN w:val="0"/>
        <w:adjustRightInd w:val="0"/>
        <w:ind w:left="567"/>
        <w:jc w:val="both"/>
        <w:rPr>
          <w:rFonts w:ascii="Times New Roman" w:hAnsi="Times New Roman"/>
          <w:spacing w:val="-2"/>
          <w:sz w:val="20"/>
          <w:szCs w:val="20"/>
        </w:rPr>
      </w:pPr>
      <w:r w:rsidRPr="003E48A1">
        <w:rPr>
          <w:rFonts w:ascii="Times New Roman" w:hAnsi="Times New Roman"/>
          <w:spacing w:val="-2"/>
          <w:sz w:val="20"/>
          <w:szCs w:val="20"/>
        </w:rPr>
        <w:t xml:space="preserve">Las operaciones que realiza la Sociedad en una moneda distinta de su moneda funcional se registran a los tipos de cambio vigentes en el momento de la transacción. </w:t>
      </w:r>
    </w:p>
    <w:p w:rsidR="002E6365" w:rsidRPr="003E48A1" w:rsidRDefault="002E6365" w:rsidP="003E48A1">
      <w:pPr>
        <w:autoSpaceDE w:val="0"/>
        <w:autoSpaceDN w:val="0"/>
        <w:adjustRightInd w:val="0"/>
        <w:ind w:left="567"/>
        <w:jc w:val="both"/>
        <w:rPr>
          <w:rFonts w:ascii="Times New Roman" w:hAnsi="Times New Roman"/>
          <w:spacing w:val="-2"/>
          <w:sz w:val="20"/>
          <w:szCs w:val="20"/>
        </w:rPr>
      </w:pPr>
      <w:r w:rsidRPr="003E48A1">
        <w:rPr>
          <w:rFonts w:ascii="Times New Roman" w:hAnsi="Times New Roman"/>
          <w:spacing w:val="-2"/>
          <w:sz w:val="20"/>
          <w:szCs w:val="20"/>
        </w:rPr>
        <w:object w:dxaOrig="5911" w:dyaOrig="1764">
          <v:shape id="_x0000_i1029" type="#_x0000_t75" style="width:295.5pt;height:88.5pt" o:ole="">
            <v:imagedata r:id="rId13" o:title=""/>
          </v:shape>
          <o:OLEObject Type="Embed" ProgID="Excel.Sheet.12" ShapeID="_x0000_i1029" DrawAspect="Content" ObjectID="_1460786565" r:id="rId14"/>
        </w:object>
      </w:r>
    </w:p>
    <w:p w:rsidR="002E6365" w:rsidRPr="003E48A1" w:rsidRDefault="002E6365" w:rsidP="00F70101">
      <w:pPr>
        <w:numPr>
          <w:ilvl w:val="1"/>
          <w:numId w:val="16"/>
        </w:numPr>
        <w:autoSpaceDE w:val="0"/>
        <w:autoSpaceDN w:val="0"/>
        <w:adjustRightInd w:val="0"/>
        <w:spacing w:after="0" w:line="240" w:lineRule="auto"/>
        <w:ind w:left="567" w:hanging="567"/>
        <w:jc w:val="both"/>
        <w:rPr>
          <w:rFonts w:ascii="Times New Roman" w:hAnsi="Times New Roman"/>
          <w:b/>
          <w:spacing w:val="-2"/>
          <w:sz w:val="20"/>
          <w:szCs w:val="20"/>
        </w:rPr>
      </w:pPr>
      <w:r w:rsidRPr="003E48A1">
        <w:rPr>
          <w:rFonts w:ascii="Times New Roman" w:hAnsi="Times New Roman"/>
          <w:b/>
          <w:spacing w:val="-2"/>
          <w:sz w:val="20"/>
          <w:szCs w:val="20"/>
        </w:rPr>
        <w:t xml:space="preserve">Compensación de saldos y transacciones </w:t>
      </w:r>
    </w:p>
    <w:p w:rsidR="002E6365" w:rsidRPr="003E48A1" w:rsidRDefault="002E6365" w:rsidP="00F70101">
      <w:pPr>
        <w:autoSpaceDE w:val="0"/>
        <w:autoSpaceDN w:val="0"/>
        <w:adjustRightInd w:val="0"/>
        <w:ind w:left="567"/>
        <w:jc w:val="both"/>
        <w:rPr>
          <w:rFonts w:ascii="Times New Roman" w:hAnsi="Times New Roman"/>
          <w:spacing w:val="-2"/>
          <w:sz w:val="20"/>
          <w:szCs w:val="20"/>
        </w:rPr>
      </w:pPr>
      <w:r w:rsidRPr="003E48A1">
        <w:rPr>
          <w:rFonts w:ascii="Times New Roman" w:hAnsi="Times New Roman"/>
          <w:spacing w:val="-2"/>
          <w:sz w:val="20"/>
          <w:szCs w:val="20"/>
        </w:rPr>
        <w:t>Como norma general en los estados financieros no se compensan activos ni pasivos, ni los ingresos y gastos salvo en aquellos casos en que la compensación sea requerida o esté permitida por alguna norma y está presentación sea el reflejo del fondo de la transacción.</w:t>
      </w:r>
    </w:p>
    <w:p w:rsidR="002E6365" w:rsidRPr="003E48A1" w:rsidRDefault="002E6365" w:rsidP="003E48A1">
      <w:pPr>
        <w:autoSpaceDE w:val="0"/>
        <w:autoSpaceDN w:val="0"/>
        <w:adjustRightInd w:val="0"/>
        <w:ind w:left="426"/>
        <w:jc w:val="both"/>
        <w:rPr>
          <w:rFonts w:ascii="Times New Roman" w:hAnsi="Times New Roman"/>
          <w:spacing w:val="-2"/>
          <w:sz w:val="20"/>
          <w:szCs w:val="20"/>
        </w:rPr>
      </w:pPr>
      <w:r>
        <w:rPr>
          <w:rFonts w:ascii="Times New Roman" w:hAnsi="Times New Roman"/>
          <w:spacing w:val="-2"/>
          <w:sz w:val="20"/>
          <w:szCs w:val="20"/>
        </w:rPr>
        <w:br w:type="page"/>
      </w:r>
    </w:p>
    <w:p w:rsidR="002E6365" w:rsidRPr="003E48A1" w:rsidRDefault="002E6365" w:rsidP="00F70101">
      <w:pPr>
        <w:pStyle w:val="ListParagraph"/>
        <w:numPr>
          <w:ilvl w:val="1"/>
          <w:numId w:val="16"/>
        </w:numPr>
        <w:tabs>
          <w:tab w:val="left" w:pos="567"/>
        </w:tabs>
        <w:autoSpaceDE w:val="0"/>
        <w:autoSpaceDN w:val="0"/>
        <w:adjustRightInd w:val="0"/>
        <w:ind w:left="567" w:hanging="567"/>
        <w:jc w:val="both"/>
        <w:rPr>
          <w:b/>
          <w:spacing w:val="-3"/>
          <w:sz w:val="20"/>
          <w:szCs w:val="20"/>
          <w:lang w:val="es-CL"/>
        </w:rPr>
      </w:pPr>
      <w:r w:rsidRPr="003E48A1">
        <w:rPr>
          <w:b/>
          <w:spacing w:val="-3"/>
          <w:sz w:val="20"/>
          <w:szCs w:val="20"/>
          <w:lang w:val="es-CL"/>
        </w:rPr>
        <w:t>Propiedades, plantas y equipos</w:t>
      </w:r>
      <w:bookmarkEnd w:id="5"/>
    </w:p>
    <w:p w:rsidR="002E6365" w:rsidRPr="003E48A1" w:rsidRDefault="002E6365" w:rsidP="00F70101">
      <w:pPr>
        <w:pStyle w:val="ListParagraph"/>
        <w:numPr>
          <w:ilvl w:val="2"/>
          <w:numId w:val="16"/>
        </w:numPr>
        <w:tabs>
          <w:tab w:val="left" w:pos="567"/>
        </w:tabs>
        <w:autoSpaceDE w:val="0"/>
        <w:autoSpaceDN w:val="0"/>
        <w:adjustRightInd w:val="0"/>
        <w:ind w:left="1418" w:hanging="851"/>
        <w:jc w:val="both"/>
        <w:rPr>
          <w:b/>
          <w:sz w:val="20"/>
          <w:szCs w:val="20"/>
          <w:lang w:val="es-CL"/>
        </w:rPr>
      </w:pPr>
      <w:r w:rsidRPr="003E48A1">
        <w:rPr>
          <w:b/>
          <w:sz w:val="20"/>
          <w:szCs w:val="20"/>
          <w:lang w:val="es-CL"/>
        </w:rPr>
        <w:t>Reconocimiento y medición</w:t>
      </w:r>
    </w:p>
    <w:p w:rsidR="002E6365" w:rsidRPr="003E48A1" w:rsidRDefault="002E6365" w:rsidP="000B2A1C">
      <w:pPr>
        <w:autoSpaceDE w:val="0"/>
        <w:autoSpaceDN w:val="0"/>
        <w:adjustRightInd w:val="0"/>
        <w:ind w:left="1418"/>
        <w:jc w:val="both"/>
        <w:rPr>
          <w:rFonts w:ascii="Times New Roman" w:hAnsi="Times New Roman"/>
          <w:spacing w:val="-2"/>
          <w:sz w:val="20"/>
          <w:szCs w:val="20"/>
        </w:rPr>
      </w:pPr>
      <w:r w:rsidRPr="003E48A1">
        <w:rPr>
          <w:rFonts w:ascii="Times New Roman" w:hAnsi="Times New Roman"/>
          <w:spacing w:val="-2"/>
          <w:sz w:val="20"/>
          <w:szCs w:val="20"/>
        </w:rPr>
        <w:t>Los í</w:t>
      </w:r>
      <w:r>
        <w:rPr>
          <w:rFonts w:ascii="Times New Roman" w:hAnsi="Times New Roman"/>
          <w:spacing w:val="-2"/>
          <w:sz w:val="20"/>
          <w:szCs w:val="20"/>
        </w:rPr>
        <w:t>tems</w:t>
      </w:r>
      <w:r w:rsidRPr="003E48A1">
        <w:rPr>
          <w:rFonts w:ascii="Times New Roman" w:hAnsi="Times New Roman"/>
          <w:spacing w:val="-2"/>
          <w:sz w:val="20"/>
          <w:szCs w:val="20"/>
        </w:rPr>
        <w:t xml:space="preserve"> de propiedades, planta y equipos, se reconocen a su costo de adquisición menos la depreciación y pérdidas por deterioro acumuladas correspondientes. </w:t>
      </w:r>
    </w:p>
    <w:p w:rsidR="002E6365" w:rsidRPr="003E48A1" w:rsidRDefault="002E6365" w:rsidP="00F70101">
      <w:pPr>
        <w:pStyle w:val="ListParagraph"/>
        <w:numPr>
          <w:ilvl w:val="2"/>
          <w:numId w:val="16"/>
        </w:numPr>
        <w:tabs>
          <w:tab w:val="left" w:pos="567"/>
        </w:tabs>
        <w:autoSpaceDE w:val="0"/>
        <w:autoSpaceDN w:val="0"/>
        <w:adjustRightInd w:val="0"/>
        <w:ind w:left="1418" w:hanging="851"/>
        <w:jc w:val="both"/>
        <w:rPr>
          <w:b/>
          <w:sz w:val="20"/>
          <w:szCs w:val="20"/>
          <w:lang w:val="es-CL"/>
        </w:rPr>
      </w:pPr>
      <w:r w:rsidRPr="003E48A1">
        <w:rPr>
          <w:b/>
          <w:sz w:val="20"/>
          <w:szCs w:val="20"/>
          <w:lang w:val="es-CL"/>
        </w:rPr>
        <w:t>Depreciación y vidas útiles</w:t>
      </w:r>
    </w:p>
    <w:p w:rsidR="002E6365" w:rsidRPr="000B2A1C" w:rsidRDefault="002E6365" w:rsidP="000B2A1C">
      <w:pPr>
        <w:autoSpaceDE w:val="0"/>
        <w:autoSpaceDN w:val="0"/>
        <w:adjustRightInd w:val="0"/>
        <w:ind w:left="1418"/>
        <w:jc w:val="both"/>
        <w:rPr>
          <w:rFonts w:ascii="Times New Roman" w:hAnsi="Times New Roman"/>
          <w:spacing w:val="-2"/>
          <w:sz w:val="20"/>
          <w:szCs w:val="20"/>
        </w:rPr>
      </w:pPr>
      <w:r w:rsidRPr="003E48A1">
        <w:rPr>
          <w:rFonts w:ascii="Times New Roman" w:hAnsi="Times New Roman"/>
          <w:spacing w:val="-2"/>
          <w:sz w:val="20"/>
          <w:szCs w:val="20"/>
        </w:rPr>
        <w:t>La depreciación es reconocida en  los resultados integrales en base al método de depreciación lineal calculada sobre la base de las vidas útiles de cada componente de un ítem de propiedad, planta y equipo. Este método es el que refleja de mejor forma el uso y consumo del bien.</w:t>
      </w:r>
    </w:p>
    <w:p w:rsidR="002E6365" w:rsidRPr="003E48A1" w:rsidRDefault="002E6365" w:rsidP="003E48A1">
      <w:pPr>
        <w:pStyle w:val="ListParagraph"/>
        <w:tabs>
          <w:tab w:val="left" w:pos="567"/>
        </w:tabs>
        <w:autoSpaceDE w:val="0"/>
        <w:autoSpaceDN w:val="0"/>
        <w:adjustRightInd w:val="0"/>
        <w:ind w:left="567"/>
        <w:jc w:val="both"/>
        <w:rPr>
          <w:b/>
          <w:spacing w:val="-3"/>
          <w:sz w:val="20"/>
          <w:szCs w:val="20"/>
          <w:lang w:val="es-CL"/>
        </w:rPr>
      </w:pPr>
    </w:p>
    <w:p w:rsidR="002E6365" w:rsidRPr="003E48A1" w:rsidRDefault="002E6365" w:rsidP="00F70101">
      <w:pPr>
        <w:pStyle w:val="ListParagraph"/>
        <w:numPr>
          <w:ilvl w:val="1"/>
          <w:numId w:val="16"/>
        </w:numPr>
        <w:tabs>
          <w:tab w:val="left" w:pos="567"/>
        </w:tabs>
        <w:autoSpaceDE w:val="0"/>
        <w:autoSpaceDN w:val="0"/>
        <w:adjustRightInd w:val="0"/>
        <w:ind w:left="567" w:hanging="567"/>
        <w:jc w:val="both"/>
        <w:rPr>
          <w:b/>
          <w:spacing w:val="-3"/>
          <w:sz w:val="20"/>
          <w:szCs w:val="20"/>
          <w:lang w:val="es-CL"/>
        </w:rPr>
      </w:pPr>
      <w:r w:rsidRPr="003E48A1">
        <w:rPr>
          <w:b/>
          <w:spacing w:val="-3"/>
          <w:sz w:val="20"/>
          <w:szCs w:val="20"/>
          <w:lang w:val="es-CL"/>
        </w:rPr>
        <w:t>Activos intangibles distintos de plusvalía</w:t>
      </w:r>
    </w:p>
    <w:p w:rsidR="002E6365" w:rsidRPr="000B2A1C" w:rsidRDefault="002E6365" w:rsidP="000B2A1C">
      <w:pPr>
        <w:autoSpaceDE w:val="0"/>
        <w:autoSpaceDN w:val="0"/>
        <w:adjustRightInd w:val="0"/>
        <w:ind w:left="567"/>
        <w:jc w:val="both"/>
        <w:rPr>
          <w:rFonts w:ascii="Times New Roman" w:hAnsi="Times New Roman"/>
          <w:b/>
          <w:spacing w:val="-2"/>
          <w:sz w:val="20"/>
          <w:szCs w:val="20"/>
        </w:rPr>
      </w:pPr>
      <w:r w:rsidRPr="003E48A1">
        <w:rPr>
          <w:rFonts w:ascii="Times New Roman" w:hAnsi="Times New Roman"/>
          <w:b/>
          <w:spacing w:val="-2"/>
          <w:sz w:val="20"/>
          <w:szCs w:val="20"/>
        </w:rPr>
        <w:t>Derechos de pases de jugadores</w:t>
      </w:r>
    </w:p>
    <w:p w:rsidR="002E6365" w:rsidRPr="003E48A1" w:rsidRDefault="002E6365" w:rsidP="003E48A1">
      <w:pPr>
        <w:autoSpaceDE w:val="0"/>
        <w:autoSpaceDN w:val="0"/>
        <w:adjustRightInd w:val="0"/>
        <w:ind w:left="567"/>
        <w:jc w:val="both"/>
        <w:rPr>
          <w:rFonts w:ascii="Times New Roman" w:hAnsi="Times New Roman"/>
          <w:spacing w:val="-2"/>
          <w:sz w:val="20"/>
          <w:szCs w:val="20"/>
        </w:rPr>
      </w:pPr>
      <w:r w:rsidRPr="003E48A1">
        <w:rPr>
          <w:rFonts w:ascii="Times New Roman" w:hAnsi="Times New Roman"/>
          <w:spacing w:val="-2"/>
          <w:sz w:val="20"/>
          <w:szCs w:val="20"/>
        </w:rPr>
        <w:t>Los pases se amortizan en forma lineal en un período  de acuerdo a la de vigencia de los contratos de los jugadores. Este valor incluye todas las obligaciones derivadas de dichos derechos</w:t>
      </w:r>
    </w:p>
    <w:p w:rsidR="002E6365" w:rsidRPr="003E48A1" w:rsidRDefault="002E6365" w:rsidP="00F70101">
      <w:pPr>
        <w:pStyle w:val="ListParagraph"/>
        <w:numPr>
          <w:ilvl w:val="1"/>
          <w:numId w:val="16"/>
        </w:numPr>
        <w:tabs>
          <w:tab w:val="left" w:pos="567"/>
        </w:tabs>
        <w:autoSpaceDE w:val="0"/>
        <w:autoSpaceDN w:val="0"/>
        <w:adjustRightInd w:val="0"/>
        <w:ind w:left="567" w:hanging="567"/>
        <w:jc w:val="both"/>
        <w:rPr>
          <w:b/>
          <w:spacing w:val="-3"/>
          <w:sz w:val="20"/>
          <w:szCs w:val="20"/>
          <w:lang w:val="es-CL"/>
        </w:rPr>
      </w:pPr>
      <w:bookmarkStart w:id="6" w:name="_Toc365123379"/>
      <w:r w:rsidRPr="003E48A1">
        <w:rPr>
          <w:b/>
          <w:spacing w:val="-3"/>
          <w:sz w:val="20"/>
          <w:szCs w:val="20"/>
          <w:lang w:val="es-CL"/>
        </w:rPr>
        <w:t>Deterioro de Activos no Financieros</w:t>
      </w:r>
      <w:bookmarkEnd w:id="6"/>
      <w:r w:rsidRPr="003E48A1">
        <w:rPr>
          <w:b/>
          <w:spacing w:val="-3"/>
          <w:sz w:val="20"/>
          <w:szCs w:val="20"/>
          <w:lang w:val="es-CL"/>
        </w:rPr>
        <w:t xml:space="preserve"> </w:t>
      </w:r>
    </w:p>
    <w:p w:rsidR="002E6365" w:rsidRPr="003E48A1" w:rsidRDefault="002E6365" w:rsidP="003E48A1">
      <w:pPr>
        <w:ind w:left="567"/>
        <w:jc w:val="both"/>
        <w:rPr>
          <w:rFonts w:ascii="Times New Roman" w:hAnsi="Times New Roman"/>
          <w:spacing w:val="-2"/>
          <w:sz w:val="20"/>
          <w:szCs w:val="20"/>
        </w:rPr>
      </w:pPr>
      <w:bookmarkStart w:id="7" w:name="_Toc365123380"/>
      <w:r w:rsidRPr="003E48A1">
        <w:rPr>
          <w:rFonts w:ascii="Times New Roman" w:hAnsi="Times New Roman"/>
          <w:spacing w:val="-2"/>
          <w:sz w:val="20"/>
          <w:szCs w:val="20"/>
        </w:rPr>
        <w:t xml:space="preserve">Los activos sujetos a amortización se someten a pruebas de pérdidas por deterioro siempre que algún suceso o cambio en las circunstancias indique que el importe en libros puede no ser recuperable. Se reconoce una pérdida por deterioro por el exceso del importe en libros del activo sobre su importe recuperable. </w:t>
      </w:r>
    </w:p>
    <w:p w:rsidR="002E6365" w:rsidRPr="003E48A1" w:rsidRDefault="002E6365" w:rsidP="003E48A1">
      <w:pPr>
        <w:ind w:left="567"/>
        <w:jc w:val="both"/>
        <w:rPr>
          <w:rFonts w:ascii="Times New Roman" w:hAnsi="Times New Roman"/>
          <w:spacing w:val="-2"/>
          <w:sz w:val="20"/>
          <w:szCs w:val="20"/>
        </w:rPr>
      </w:pPr>
      <w:r w:rsidRPr="003E48A1">
        <w:rPr>
          <w:rFonts w:ascii="Times New Roman" w:hAnsi="Times New Roman"/>
          <w:spacing w:val="-2"/>
          <w:sz w:val="20"/>
          <w:szCs w:val="20"/>
        </w:rPr>
        <w:t xml:space="preserve">El indicador de deterioro en el caso de los intangibles estará dado por las lesiones o enfermedades que inhabiliten permanentemente a algunos de los jugadores profesionales. En aquellos casos en que ocurra esta situación, se hará la perdida correspondiente al valor remanente del pase del respectivo jugador. </w:t>
      </w:r>
    </w:p>
    <w:p w:rsidR="002E6365" w:rsidRPr="003E48A1" w:rsidRDefault="002E6365" w:rsidP="00F70101">
      <w:pPr>
        <w:pStyle w:val="ListParagraph"/>
        <w:numPr>
          <w:ilvl w:val="1"/>
          <w:numId w:val="16"/>
        </w:numPr>
        <w:tabs>
          <w:tab w:val="left" w:pos="567"/>
        </w:tabs>
        <w:autoSpaceDE w:val="0"/>
        <w:autoSpaceDN w:val="0"/>
        <w:adjustRightInd w:val="0"/>
        <w:ind w:left="567" w:hanging="567"/>
        <w:jc w:val="both"/>
        <w:rPr>
          <w:b/>
          <w:spacing w:val="-3"/>
          <w:sz w:val="20"/>
          <w:szCs w:val="20"/>
          <w:lang w:val="es-CL"/>
        </w:rPr>
      </w:pPr>
      <w:r w:rsidRPr="003E48A1">
        <w:rPr>
          <w:b/>
          <w:spacing w:val="-3"/>
          <w:sz w:val="20"/>
          <w:szCs w:val="20"/>
          <w:lang w:val="es-CL"/>
        </w:rPr>
        <w:t>Activos y Pasivos Financieros</w:t>
      </w:r>
      <w:bookmarkEnd w:id="7"/>
    </w:p>
    <w:p w:rsidR="002E6365" w:rsidRPr="003E48A1" w:rsidRDefault="002E6365" w:rsidP="003E48A1">
      <w:pPr>
        <w:autoSpaceDE w:val="0"/>
        <w:autoSpaceDN w:val="0"/>
        <w:adjustRightInd w:val="0"/>
        <w:ind w:left="567"/>
        <w:jc w:val="both"/>
        <w:rPr>
          <w:rFonts w:ascii="Times New Roman" w:hAnsi="Times New Roman"/>
          <w:spacing w:val="-2"/>
          <w:sz w:val="20"/>
          <w:szCs w:val="20"/>
        </w:rPr>
      </w:pPr>
      <w:r w:rsidRPr="003E48A1">
        <w:rPr>
          <w:rFonts w:ascii="Times New Roman" w:hAnsi="Times New Roman"/>
          <w:spacing w:val="-2"/>
          <w:sz w:val="20"/>
          <w:szCs w:val="20"/>
        </w:rPr>
        <w:t xml:space="preserve">Inicialmente todos los activos y pasivos financieros deben ser valorizados según su valor razonable considerando además, cuando se trata de activos o pasivos financieros no clasificados como a valor razonable con cambios en resultados los costos de transacción que son directamente identificables a la adquisición o emisión del activo o pasivo financiero. </w:t>
      </w:r>
    </w:p>
    <w:p w:rsidR="002E6365" w:rsidRPr="003E48A1" w:rsidRDefault="002E6365" w:rsidP="00F70101">
      <w:pPr>
        <w:pStyle w:val="ListParagraph"/>
        <w:numPr>
          <w:ilvl w:val="1"/>
          <w:numId w:val="16"/>
        </w:numPr>
        <w:tabs>
          <w:tab w:val="left" w:pos="567"/>
        </w:tabs>
        <w:autoSpaceDE w:val="0"/>
        <w:autoSpaceDN w:val="0"/>
        <w:adjustRightInd w:val="0"/>
        <w:ind w:left="567" w:hanging="567"/>
        <w:jc w:val="both"/>
        <w:rPr>
          <w:b/>
          <w:spacing w:val="-3"/>
          <w:sz w:val="20"/>
          <w:szCs w:val="20"/>
          <w:lang w:val="es-CL"/>
        </w:rPr>
      </w:pPr>
      <w:bookmarkStart w:id="8" w:name="_Toc365123382"/>
      <w:r w:rsidRPr="003E48A1">
        <w:rPr>
          <w:b/>
          <w:spacing w:val="-3"/>
          <w:sz w:val="20"/>
          <w:szCs w:val="20"/>
          <w:lang w:val="es-CL"/>
        </w:rPr>
        <w:t>Capital emitido</w:t>
      </w:r>
    </w:p>
    <w:p w:rsidR="002E6365" w:rsidRDefault="002E6365" w:rsidP="000B2A1C">
      <w:pPr>
        <w:pStyle w:val="ListParagraph"/>
        <w:tabs>
          <w:tab w:val="left" w:pos="567"/>
        </w:tabs>
        <w:autoSpaceDE w:val="0"/>
        <w:autoSpaceDN w:val="0"/>
        <w:adjustRightInd w:val="0"/>
        <w:ind w:left="567"/>
        <w:jc w:val="both"/>
        <w:rPr>
          <w:spacing w:val="-3"/>
          <w:sz w:val="20"/>
          <w:szCs w:val="20"/>
          <w:lang w:val="es-CL"/>
        </w:rPr>
      </w:pPr>
      <w:r w:rsidRPr="003E48A1">
        <w:rPr>
          <w:spacing w:val="-3"/>
          <w:sz w:val="20"/>
          <w:szCs w:val="20"/>
          <w:lang w:val="es-CL"/>
        </w:rPr>
        <w:t xml:space="preserve">El capital social está representado por acciones ordinarias de serie A y B, sin valor nominal.  </w:t>
      </w:r>
    </w:p>
    <w:p w:rsidR="002E6365" w:rsidRPr="003E48A1" w:rsidRDefault="002E6365" w:rsidP="000B2A1C">
      <w:pPr>
        <w:pStyle w:val="ListParagraph"/>
        <w:tabs>
          <w:tab w:val="left" w:pos="567"/>
        </w:tabs>
        <w:autoSpaceDE w:val="0"/>
        <w:autoSpaceDN w:val="0"/>
        <w:adjustRightInd w:val="0"/>
        <w:ind w:left="567"/>
        <w:jc w:val="both"/>
        <w:rPr>
          <w:sz w:val="20"/>
          <w:szCs w:val="20"/>
        </w:rPr>
      </w:pPr>
    </w:p>
    <w:p w:rsidR="002E6365" w:rsidRPr="003E48A1" w:rsidRDefault="002E6365" w:rsidP="00F70101">
      <w:pPr>
        <w:pStyle w:val="ListParagraph"/>
        <w:numPr>
          <w:ilvl w:val="1"/>
          <w:numId w:val="16"/>
        </w:numPr>
        <w:tabs>
          <w:tab w:val="left" w:pos="567"/>
        </w:tabs>
        <w:autoSpaceDE w:val="0"/>
        <w:autoSpaceDN w:val="0"/>
        <w:adjustRightInd w:val="0"/>
        <w:ind w:left="567" w:hanging="567"/>
        <w:jc w:val="both"/>
        <w:rPr>
          <w:b/>
          <w:spacing w:val="-3"/>
          <w:sz w:val="20"/>
          <w:szCs w:val="20"/>
          <w:lang w:val="es-CL"/>
        </w:rPr>
      </w:pPr>
      <w:r w:rsidRPr="003E48A1">
        <w:rPr>
          <w:b/>
          <w:spacing w:val="-3"/>
          <w:sz w:val="20"/>
          <w:szCs w:val="20"/>
          <w:lang w:val="es-CL"/>
        </w:rPr>
        <w:t>Impuesto a las Ganancias e Impuestos Diferidos</w:t>
      </w:r>
    </w:p>
    <w:p w:rsidR="002E6365" w:rsidRPr="003E48A1" w:rsidRDefault="002E6365" w:rsidP="003E48A1">
      <w:pPr>
        <w:autoSpaceDE w:val="0"/>
        <w:autoSpaceDN w:val="0"/>
        <w:adjustRightInd w:val="0"/>
        <w:ind w:left="567"/>
        <w:jc w:val="both"/>
        <w:rPr>
          <w:rFonts w:ascii="Times New Roman" w:hAnsi="Times New Roman"/>
          <w:spacing w:val="-2"/>
          <w:sz w:val="20"/>
          <w:szCs w:val="20"/>
        </w:rPr>
      </w:pPr>
      <w:r w:rsidRPr="003E48A1">
        <w:rPr>
          <w:rFonts w:ascii="Times New Roman" w:hAnsi="Times New Roman"/>
          <w:spacing w:val="-2"/>
          <w:sz w:val="20"/>
          <w:szCs w:val="20"/>
        </w:rPr>
        <w:t>El impuesto a las ganancias de la Sociedad  se contabiliza sobre la base de la Renta líquida imponible, determinada según las normas establecidas en la Ley de Impuesto a la Renta.</w:t>
      </w:r>
    </w:p>
    <w:p w:rsidR="002E6365" w:rsidRPr="003E48A1" w:rsidRDefault="002E6365" w:rsidP="003E48A1">
      <w:pPr>
        <w:autoSpaceDE w:val="0"/>
        <w:autoSpaceDN w:val="0"/>
        <w:adjustRightInd w:val="0"/>
        <w:ind w:left="567"/>
        <w:jc w:val="both"/>
        <w:rPr>
          <w:rFonts w:ascii="Times New Roman" w:hAnsi="Times New Roman"/>
          <w:spacing w:val="-2"/>
          <w:sz w:val="20"/>
          <w:szCs w:val="20"/>
        </w:rPr>
      </w:pPr>
      <w:r w:rsidRPr="003E48A1">
        <w:rPr>
          <w:rFonts w:ascii="Times New Roman" w:hAnsi="Times New Roman"/>
          <w:spacing w:val="-2"/>
          <w:sz w:val="20"/>
          <w:szCs w:val="20"/>
        </w:rPr>
        <w:t>La Sociedad han determinado los impuestos diferidos originados por diferencias temporarias, las que son causadas por transacciones que afectarán en períodos distintos los resultados financieros y los resultados tributarios.</w:t>
      </w:r>
    </w:p>
    <w:p w:rsidR="002E6365" w:rsidRPr="003E48A1" w:rsidRDefault="002E6365" w:rsidP="00F70101">
      <w:pPr>
        <w:pStyle w:val="ListParagraph"/>
        <w:numPr>
          <w:ilvl w:val="1"/>
          <w:numId w:val="16"/>
        </w:numPr>
        <w:tabs>
          <w:tab w:val="left" w:pos="567"/>
        </w:tabs>
        <w:autoSpaceDE w:val="0"/>
        <w:autoSpaceDN w:val="0"/>
        <w:adjustRightInd w:val="0"/>
        <w:ind w:left="567" w:hanging="567"/>
        <w:jc w:val="both"/>
        <w:rPr>
          <w:b/>
          <w:spacing w:val="-3"/>
          <w:sz w:val="20"/>
          <w:szCs w:val="20"/>
          <w:lang w:val="es-CL"/>
        </w:rPr>
      </w:pPr>
      <w:r w:rsidRPr="003E48A1">
        <w:rPr>
          <w:b/>
          <w:spacing w:val="-3"/>
          <w:sz w:val="20"/>
          <w:szCs w:val="20"/>
          <w:lang w:val="es-CL"/>
        </w:rPr>
        <w:t>Beneficio a los Empleados</w:t>
      </w:r>
    </w:p>
    <w:p w:rsidR="002E6365" w:rsidRDefault="002E6365" w:rsidP="003E48A1">
      <w:pPr>
        <w:autoSpaceDE w:val="0"/>
        <w:autoSpaceDN w:val="0"/>
        <w:adjustRightInd w:val="0"/>
        <w:ind w:left="993"/>
        <w:jc w:val="both"/>
        <w:rPr>
          <w:rFonts w:ascii="Times New Roman" w:hAnsi="Times New Roman"/>
          <w:spacing w:val="-2"/>
          <w:sz w:val="20"/>
          <w:szCs w:val="20"/>
        </w:rPr>
      </w:pPr>
      <w:r w:rsidRPr="003E48A1">
        <w:rPr>
          <w:rFonts w:ascii="Times New Roman" w:hAnsi="Times New Roman"/>
          <w:spacing w:val="-2"/>
          <w:sz w:val="20"/>
          <w:szCs w:val="20"/>
        </w:rPr>
        <w:t>La sociedad  reconoce el gasto por vacaciones del personal mediante el método del devengo. Este beneficio corresponde a todo el personal y equivale a un importe fijo según los contratos particulares de cada trabajador. Este beneficio es registrado a su valor nominal.</w:t>
      </w:r>
    </w:p>
    <w:p w:rsidR="002E6365" w:rsidRDefault="002E6365" w:rsidP="003E48A1">
      <w:pPr>
        <w:autoSpaceDE w:val="0"/>
        <w:autoSpaceDN w:val="0"/>
        <w:adjustRightInd w:val="0"/>
        <w:ind w:left="993"/>
        <w:jc w:val="both"/>
        <w:rPr>
          <w:rFonts w:ascii="Times New Roman" w:hAnsi="Times New Roman"/>
          <w:spacing w:val="-2"/>
          <w:sz w:val="20"/>
          <w:szCs w:val="20"/>
        </w:rPr>
      </w:pPr>
      <w:r>
        <w:rPr>
          <w:rFonts w:ascii="Times New Roman" w:hAnsi="Times New Roman"/>
          <w:spacing w:val="-2"/>
          <w:sz w:val="20"/>
          <w:szCs w:val="20"/>
        </w:rPr>
        <w:br w:type="page"/>
      </w:r>
    </w:p>
    <w:p w:rsidR="002E6365" w:rsidRPr="003E48A1" w:rsidRDefault="002E6365" w:rsidP="00F70101">
      <w:pPr>
        <w:pStyle w:val="ListParagraph"/>
        <w:numPr>
          <w:ilvl w:val="1"/>
          <w:numId w:val="16"/>
        </w:numPr>
        <w:tabs>
          <w:tab w:val="left" w:pos="567"/>
        </w:tabs>
        <w:autoSpaceDE w:val="0"/>
        <w:autoSpaceDN w:val="0"/>
        <w:adjustRightInd w:val="0"/>
        <w:ind w:left="567" w:hanging="567"/>
        <w:jc w:val="both"/>
        <w:rPr>
          <w:b/>
          <w:spacing w:val="-3"/>
          <w:sz w:val="20"/>
          <w:szCs w:val="20"/>
          <w:lang w:val="es-CL"/>
        </w:rPr>
      </w:pPr>
      <w:r w:rsidRPr="003E48A1">
        <w:rPr>
          <w:b/>
          <w:spacing w:val="-3"/>
          <w:sz w:val="20"/>
          <w:szCs w:val="20"/>
          <w:lang w:val="es-CL"/>
        </w:rPr>
        <w:t>Provisiones</w:t>
      </w:r>
    </w:p>
    <w:p w:rsidR="002E6365" w:rsidRPr="003E48A1" w:rsidRDefault="002E6365" w:rsidP="003E48A1">
      <w:pPr>
        <w:autoSpaceDE w:val="0"/>
        <w:autoSpaceDN w:val="0"/>
        <w:adjustRightInd w:val="0"/>
        <w:ind w:left="567"/>
        <w:jc w:val="both"/>
        <w:rPr>
          <w:rFonts w:ascii="Times New Roman" w:hAnsi="Times New Roman"/>
          <w:spacing w:val="-2"/>
          <w:sz w:val="20"/>
          <w:szCs w:val="20"/>
        </w:rPr>
      </w:pPr>
      <w:r w:rsidRPr="003E48A1">
        <w:rPr>
          <w:rFonts w:ascii="Times New Roman" w:hAnsi="Times New Roman"/>
          <w:spacing w:val="-2"/>
          <w:sz w:val="20"/>
          <w:szCs w:val="20"/>
        </w:rPr>
        <w:t xml:space="preserve">Las provisiones se reconocen cuando: </w:t>
      </w:r>
    </w:p>
    <w:p w:rsidR="002E6365" w:rsidRPr="003E48A1" w:rsidRDefault="002E6365" w:rsidP="003E48A1">
      <w:pPr>
        <w:numPr>
          <w:ilvl w:val="1"/>
          <w:numId w:val="5"/>
        </w:numPr>
        <w:autoSpaceDE w:val="0"/>
        <w:autoSpaceDN w:val="0"/>
        <w:adjustRightInd w:val="0"/>
        <w:spacing w:after="0" w:line="240" w:lineRule="auto"/>
        <w:ind w:left="1418" w:hanging="338"/>
        <w:jc w:val="both"/>
        <w:rPr>
          <w:rFonts w:ascii="Times New Roman" w:hAnsi="Times New Roman"/>
          <w:spacing w:val="-2"/>
          <w:sz w:val="20"/>
          <w:szCs w:val="20"/>
        </w:rPr>
      </w:pPr>
      <w:r w:rsidRPr="003E48A1">
        <w:rPr>
          <w:rFonts w:ascii="Times New Roman" w:hAnsi="Times New Roman"/>
          <w:spacing w:val="-2"/>
          <w:sz w:val="20"/>
          <w:szCs w:val="20"/>
        </w:rPr>
        <w:t xml:space="preserve">La Sociedad tiene una obligación presente, ya sea legal o implícita, como resultado de sucesos pasados; </w:t>
      </w:r>
    </w:p>
    <w:p w:rsidR="002E6365" w:rsidRPr="003E48A1" w:rsidRDefault="002E6365" w:rsidP="003E48A1">
      <w:pPr>
        <w:numPr>
          <w:ilvl w:val="1"/>
          <w:numId w:val="5"/>
        </w:numPr>
        <w:autoSpaceDE w:val="0"/>
        <w:autoSpaceDN w:val="0"/>
        <w:adjustRightInd w:val="0"/>
        <w:spacing w:after="0" w:line="240" w:lineRule="auto"/>
        <w:jc w:val="both"/>
        <w:rPr>
          <w:rFonts w:ascii="Times New Roman" w:hAnsi="Times New Roman"/>
          <w:spacing w:val="-2"/>
          <w:sz w:val="20"/>
          <w:szCs w:val="20"/>
        </w:rPr>
      </w:pPr>
      <w:r w:rsidRPr="003E48A1">
        <w:rPr>
          <w:rFonts w:ascii="Times New Roman" w:hAnsi="Times New Roman"/>
          <w:spacing w:val="-2"/>
          <w:sz w:val="20"/>
          <w:szCs w:val="20"/>
        </w:rPr>
        <w:t xml:space="preserve"> Es probable que vaya a ser necesaria una salida de recursos para liquidar la obligación; y </w:t>
      </w:r>
    </w:p>
    <w:p w:rsidR="002E6365" w:rsidRDefault="002E6365" w:rsidP="003E48A1">
      <w:pPr>
        <w:numPr>
          <w:ilvl w:val="1"/>
          <w:numId w:val="5"/>
        </w:numPr>
        <w:autoSpaceDE w:val="0"/>
        <w:autoSpaceDN w:val="0"/>
        <w:adjustRightInd w:val="0"/>
        <w:spacing w:after="0" w:line="240" w:lineRule="auto"/>
        <w:jc w:val="both"/>
        <w:rPr>
          <w:rFonts w:ascii="Times New Roman" w:hAnsi="Times New Roman"/>
          <w:spacing w:val="-2"/>
          <w:sz w:val="20"/>
          <w:szCs w:val="20"/>
        </w:rPr>
      </w:pPr>
      <w:r w:rsidRPr="003E48A1">
        <w:rPr>
          <w:rFonts w:ascii="Times New Roman" w:hAnsi="Times New Roman"/>
          <w:spacing w:val="-2"/>
          <w:sz w:val="20"/>
          <w:szCs w:val="20"/>
        </w:rPr>
        <w:t xml:space="preserve"> El importe se ha estimado de forma fiable. </w:t>
      </w:r>
    </w:p>
    <w:p w:rsidR="002E6365" w:rsidRPr="003E48A1" w:rsidRDefault="002E6365" w:rsidP="000B2A1C">
      <w:pPr>
        <w:autoSpaceDE w:val="0"/>
        <w:autoSpaceDN w:val="0"/>
        <w:adjustRightInd w:val="0"/>
        <w:spacing w:after="0" w:line="240" w:lineRule="auto"/>
        <w:ind w:left="1800"/>
        <w:jc w:val="both"/>
        <w:rPr>
          <w:rFonts w:ascii="Times New Roman" w:hAnsi="Times New Roman"/>
          <w:spacing w:val="-2"/>
          <w:sz w:val="20"/>
          <w:szCs w:val="20"/>
        </w:rPr>
      </w:pPr>
    </w:p>
    <w:p w:rsidR="002E6365" w:rsidRPr="003E48A1" w:rsidRDefault="002E6365" w:rsidP="003E48A1">
      <w:pPr>
        <w:autoSpaceDE w:val="0"/>
        <w:autoSpaceDN w:val="0"/>
        <w:adjustRightInd w:val="0"/>
        <w:ind w:left="567"/>
        <w:jc w:val="both"/>
        <w:rPr>
          <w:rFonts w:ascii="Times New Roman" w:hAnsi="Times New Roman"/>
          <w:spacing w:val="-2"/>
          <w:sz w:val="20"/>
          <w:szCs w:val="20"/>
        </w:rPr>
      </w:pPr>
      <w:r w:rsidRPr="003E48A1">
        <w:rPr>
          <w:rFonts w:ascii="Times New Roman" w:hAnsi="Times New Roman"/>
          <w:spacing w:val="-2"/>
          <w:sz w:val="20"/>
          <w:szCs w:val="20"/>
        </w:rPr>
        <w:t xml:space="preserve">Las provisiones se valoran por el valor actual de los desembolsos que se espera que sean necesarios para liquidar la obligación usando la mejor estimación de la Sociedad. </w:t>
      </w:r>
    </w:p>
    <w:p w:rsidR="002E6365" w:rsidRPr="003E48A1" w:rsidRDefault="002E6365" w:rsidP="003E48A1">
      <w:pPr>
        <w:autoSpaceDE w:val="0"/>
        <w:autoSpaceDN w:val="0"/>
        <w:adjustRightInd w:val="0"/>
        <w:ind w:left="567"/>
        <w:jc w:val="both"/>
        <w:rPr>
          <w:rFonts w:ascii="Times New Roman" w:hAnsi="Times New Roman"/>
          <w:spacing w:val="-2"/>
          <w:sz w:val="20"/>
          <w:szCs w:val="20"/>
        </w:rPr>
      </w:pPr>
      <w:r w:rsidRPr="003E48A1">
        <w:rPr>
          <w:rFonts w:ascii="Times New Roman" w:hAnsi="Times New Roman"/>
          <w:spacing w:val="-2"/>
          <w:sz w:val="20"/>
          <w:szCs w:val="20"/>
        </w:rPr>
        <w:t>Las provisiones se cuantifican teniendo en consideración la mejor información disponible a la fecha de cada cierre contable.</w:t>
      </w:r>
    </w:p>
    <w:p w:rsidR="002E6365" w:rsidRPr="003E48A1" w:rsidRDefault="002E6365" w:rsidP="00F70101">
      <w:pPr>
        <w:pStyle w:val="ListParagraph"/>
        <w:numPr>
          <w:ilvl w:val="1"/>
          <w:numId w:val="16"/>
        </w:numPr>
        <w:tabs>
          <w:tab w:val="left" w:pos="567"/>
        </w:tabs>
        <w:autoSpaceDE w:val="0"/>
        <w:autoSpaceDN w:val="0"/>
        <w:adjustRightInd w:val="0"/>
        <w:ind w:left="567" w:hanging="567"/>
        <w:jc w:val="both"/>
        <w:rPr>
          <w:b/>
          <w:spacing w:val="-3"/>
          <w:sz w:val="20"/>
          <w:szCs w:val="20"/>
          <w:lang w:val="es-CL"/>
        </w:rPr>
      </w:pPr>
      <w:r w:rsidRPr="003E48A1">
        <w:rPr>
          <w:b/>
          <w:spacing w:val="-3"/>
          <w:sz w:val="20"/>
          <w:szCs w:val="20"/>
          <w:lang w:val="es-CL"/>
        </w:rPr>
        <w:t>Reconocimiento de Ingresos</w:t>
      </w:r>
    </w:p>
    <w:p w:rsidR="002E6365" w:rsidRPr="003E48A1" w:rsidRDefault="002E6365" w:rsidP="003E48A1">
      <w:pPr>
        <w:pStyle w:val="ListParagraph"/>
        <w:tabs>
          <w:tab w:val="left" w:pos="567"/>
        </w:tabs>
        <w:autoSpaceDE w:val="0"/>
        <w:autoSpaceDN w:val="0"/>
        <w:adjustRightInd w:val="0"/>
        <w:ind w:left="567"/>
        <w:jc w:val="both"/>
        <w:rPr>
          <w:sz w:val="20"/>
          <w:szCs w:val="20"/>
        </w:rPr>
      </w:pPr>
      <w:r w:rsidRPr="003E48A1">
        <w:rPr>
          <w:sz w:val="20"/>
          <w:szCs w:val="20"/>
        </w:rPr>
        <w:t xml:space="preserve">La sociedad reconoce los ingresos cuando el importe de los mismos se puede valorar con fiabilidad, es probable que los beneficios económicos futuros vayan a fluir a la entidad y se cumplen las condiciones específicas para cada una de las actividades de la sociedad. Los siguientes criterios específicos de reconocimiento también deben ser cumplidos antes de reconocer ingresos: </w:t>
      </w:r>
    </w:p>
    <w:p w:rsidR="002E6365" w:rsidRPr="003E48A1" w:rsidRDefault="002E6365" w:rsidP="003E48A1">
      <w:pPr>
        <w:pStyle w:val="ListParagraph"/>
        <w:tabs>
          <w:tab w:val="left" w:pos="567"/>
        </w:tabs>
        <w:autoSpaceDE w:val="0"/>
        <w:autoSpaceDN w:val="0"/>
        <w:adjustRightInd w:val="0"/>
        <w:ind w:left="567"/>
        <w:jc w:val="both"/>
        <w:rPr>
          <w:sz w:val="20"/>
          <w:szCs w:val="20"/>
        </w:rPr>
      </w:pPr>
    </w:p>
    <w:p w:rsidR="002E6365" w:rsidRPr="003E48A1" w:rsidRDefault="002E6365" w:rsidP="00F70101">
      <w:pPr>
        <w:pStyle w:val="ListParagraph"/>
        <w:numPr>
          <w:ilvl w:val="2"/>
          <w:numId w:val="16"/>
        </w:numPr>
        <w:tabs>
          <w:tab w:val="left" w:pos="567"/>
        </w:tabs>
        <w:autoSpaceDE w:val="0"/>
        <w:autoSpaceDN w:val="0"/>
        <w:adjustRightInd w:val="0"/>
        <w:ind w:left="1276"/>
        <w:jc w:val="both"/>
        <w:rPr>
          <w:sz w:val="20"/>
          <w:szCs w:val="20"/>
        </w:rPr>
      </w:pPr>
      <w:r w:rsidRPr="003E48A1">
        <w:rPr>
          <w:b/>
          <w:bCs/>
          <w:sz w:val="20"/>
          <w:szCs w:val="20"/>
        </w:rPr>
        <w:t xml:space="preserve">Ingresos por publicidad </w:t>
      </w:r>
      <w:r w:rsidRPr="003E48A1">
        <w:rPr>
          <w:sz w:val="20"/>
          <w:szCs w:val="20"/>
        </w:rPr>
        <w:t>Se reconocen de acuerdo al devengamiento en relación a los contratos de publicidad.</w:t>
      </w:r>
    </w:p>
    <w:p w:rsidR="002E6365" w:rsidRPr="00F70101" w:rsidRDefault="002E6365" w:rsidP="003E48A1">
      <w:pPr>
        <w:pStyle w:val="ListParagraph"/>
        <w:tabs>
          <w:tab w:val="left" w:pos="567"/>
        </w:tabs>
        <w:autoSpaceDE w:val="0"/>
        <w:autoSpaceDN w:val="0"/>
        <w:adjustRightInd w:val="0"/>
        <w:ind w:left="567"/>
        <w:jc w:val="both"/>
        <w:rPr>
          <w:b/>
          <w:sz w:val="20"/>
          <w:szCs w:val="20"/>
        </w:rPr>
      </w:pPr>
    </w:p>
    <w:p w:rsidR="002E6365" w:rsidRPr="003E48A1" w:rsidRDefault="002E6365" w:rsidP="00F70101">
      <w:pPr>
        <w:pStyle w:val="ListParagraph"/>
        <w:numPr>
          <w:ilvl w:val="2"/>
          <w:numId w:val="16"/>
        </w:numPr>
        <w:tabs>
          <w:tab w:val="left" w:pos="1276"/>
        </w:tabs>
        <w:autoSpaceDE w:val="0"/>
        <w:autoSpaceDN w:val="0"/>
        <w:adjustRightInd w:val="0"/>
        <w:ind w:left="1276" w:hanging="709"/>
        <w:jc w:val="both"/>
        <w:rPr>
          <w:sz w:val="20"/>
          <w:szCs w:val="20"/>
        </w:rPr>
      </w:pPr>
      <w:r w:rsidRPr="00F70101">
        <w:rPr>
          <w:b/>
          <w:bCs/>
          <w:sz w:val="20"/>
          <w:szCs w:val="20"/>
        </w:rPr>
        <w:t>Ingr</w:t>
      </w:r>
      <w:r w:rsidRPr="003E48A1">
        <w:rPr>
          <w:b/>
          <w:bCs/>
          <w:sz w:val="20"/>
          <w:szCs w:val="20"/>
        </w:rPr>
        <w:t xml:space="preserve">esos por borderó </w:t>
      </w:r>
      <w:r w:rsidRPr="003E48A1">
        <w:rPr>
          <w:sz w:val="20"/>
          <w:szCs w:val="20"/>
        </w:rPr>
        <w:t>Se reconocen en la medida que éstos se encuentran realizados. Borderó se denomina a la recaudación por concepto de entradas a los partidos. No existen ingresos por Borderó no realizados al cierre del ejercicio comprendido al 31 de diciembre de 2012.</w:t>
      </w:r>
    </w:p>
    <w:p w:rsidR="002E6365" w:rsidRPr="003E48A1" w:rsidRDefault="002E6365" w:rsidP="003E48A1">
      <w:pPr>
        <w:pStyle w:val="ListParagraph"/>
        <w:rPr>
          <w:b/>
          <w:spacing w:val="-3"/>
          <w:sz w:val="20"/>
          <w:szCs w:val="20"/>
          <w:lang w:val="es-CL"/>
        </w:rPr>
      </w:pPr>
    </w:p>
    <w:p w:rsidR="002E6365" w:rsidRPr="003E48A1" w:rsidRDefault="002E6365" w:rsidP="00F70101">
      <w:pPr>
        <w:pStyle w:val="ListParagraph"/>
        <w:numPr>
          <w:ilvl w:val="2"/>
          <w:numId w:val="16"/>
        </w:numPr>
        <w:tabs>
          <w:tab w:val="left" w:pos="1276"/>
        </w:tabs>
        <w:autoSpaceDE w:val="0"/>
        <w:autoSpaceDN w:val="0"/>
        <w:adjustRightInd w:val="0"/>
        <w:ind w:left="1276" w:hanging="709"/>
        <w:jc w:val="both"/>
        <w:rPr>
          <w:b/>
          <w:spacing w:val="-3"/>
          <w:sz w:val="20"/>
          <w:szCs w:val="20"/>
          <w:lang w:val="es-CL"/>
        </w:rPr>
      </w:pPr>
      <w:r w:rsidRPr="003E48A1">
        <w:rPr>
          <w:b/>
          <w:bCs/>
          <w:sz w:val="20"/>
          <w:szCs w:val="20"/>
        </w:rPr>
        <w:t xml:space="preserve">Ingresos por Préstamo de Jugadores. </w:t>
      </w:r>
      <w:r w:rsidRPr="003E48A1">
        <w:rPr>
          <w:sz w:val="20"/>
          <w:szCs w:val="20"/>
        </w:rPr>
        <w:t>Los ingresos recibidos por la cesión temporal de los derechos federativos de los jugadores se reconocen al estar registrados ante la Asociación Nacional de Fútbol Profesional de Chile. Estos ingresos provienen del pago de otros clubes por el préstamo del pase de los jugadores cuyos derechos federativos y económicos pertenecen a la sociedad o de aquellos jugadores cuyos derechos y beneficios económicos  derivados de los derechos federativos pertenecen a un tercero.</w:t>
      </w:r>
    </w:p>
    <w:p w:rsidR="002E6365" w:rsidRPr="003E48A1" w:rsidRDefault="002E6365" w:rsidP="003E48A1">
      <w:pPr>
        <w:pStyle w:val="ListParagraph"/>
        <w:rPr>
          <w:b/>
          <w:spacing w:val="-3"/>
          <w:sz w:val="20"/>
          <w:szCs w:val="20"/>
          <w:lang w:val="es-CL"/>
        </w:rPr>
      </w:pPr>
    </w:p>
    <w:p w:rsidR="002E6365" w:rsidRPr="003E48A1" w:rsidRDefault="002E6365" w:rsidP="00F70101">
      <w:pPr>
        <w:pStyle w:val="ListParagraph"/>
        <w:numPr>
          <w:ilvl w:val="2"/>
          <w:numId w:val="16"/>
        </w:numPr>
        <w:tabs>
          <w:tab w:val="left" w:pos="1276"/>
        </w:tabs>
        <w:autoSpaceDE w:val="0"/>
        <w:autoSpaceDN w:val="0"/>
        <w:adjustRightInd w:val="0"/>
        <w:ind w:left="1276" w:hanging="709"/>
        <w:jc w:val="both"/>
        <w:rPr>
          <w:b/>
          <w:spacing w:val="-3"/>
          <w:sz w:val="20"/>
          <w:szCs w:val="20"/>
          <w:lang w:val="es-CL"/>
        </w:rPr>
      </w:pPr>
      <w:r w:rsidRPr="003E48A1">
        <w:rPr>
          <w:b/>
          <w:bCs/>
          <w:sz w:val="20"/>
          <w:szCs w:val="20"/>
        </w:rPr>
        <w:t xml:space="preserve">Ingresos por Venta de Jugadores. </w:t>
      </w:r>
      <w:r w:rsidRPr="003E48A1">
        <w:rPr>
          <w:sz w:val="20"/>
          <w:szCs w:val="20"/>
        </w:rPr>
        <w:t>Los ingresos recibidos por la cesión definitiva de los derechos federativos y por la cesión total o parcial de los derechos y beneficios económicos derivados de los derechos federativos de los jugadores, se reconocen al estar registrados ante la Asociación Nacional de Fútbol Profesional de Chile u otra Asociación y de acuerdo al porcentaje de los derechos y beneficios económicos que pertenezca al club. Estos ingresos provienen del pago de otros clubes por dicha cesión.</w:t>
      </w:r>
    </w:p>
    <w:p w:rsidR="002E6365" w:rsidRPr="003E48A1" w:rsidRDefault="002E6365" w:rsidP="003E48A1">
      <w:pPr>
        <w:pStyle w:val="ListParagraph"/>
        <w:tabs>
          <w:tab w:val="left" w:pos="1276"/>
        </w:tabs>
        <w:autoSpaceDE w:val="0"/>
        <w:autoSpaceDN w:val="0"/>
        <w:adjustRightInd w:val="0"/>
        <w:ind w:left="1276"/>
        <w:jc w:val="both"/>
        <w:rPr>
          <w:b/>
          <w:spacing w:val="-3"/>
          <w:sz w:val="20"/>
          <w:szCs w:val="20"/>
          <w:lang w:val="es-CL"/>
        </w:rPr>
      </w:pPr>
    </w:p>
    <w:p w:rsidR="002E6365" w:rsidRPr="003E48A1" w:rsidRDefault="002E6365" w:rsidP="00F70101">
      <w:pPr>
        <w:pStyle w:val="ListParagraph"/>
        <w:numPr>
          <w:ilvl w:val="1"/>
          <w:numId w:val="16"/>
        </w:numPr>
        <w:tabs>
          <w:tab w:val="left" w:pos="567"/>
        </w:tabs>
        <w:autoSpaceDE w:val="0"/>
        <w:autoSpaceDN w:val="0"/>
        <w:adjustRightInd w:val="0"/>
        <w:ind w:left="567" w:hanging="567"/>
        <w:jc w:val="both"/>
        <w:rPr>
          <w:b/>
          <w:spacing w:val="-2"/>
          <w:sz w:val="20"/>
          <w:szCs w:val="20"/>
        </w:rPr>
      </w:pPr>
      <w:r w:rsidRPr="003E48A1">
        <w:rPr>
          <w:b/>
          <w:spacing w:val="-3"/>
          <w:sz w:val="20"/>
          <w:szCs w:val="20"/>
          <w:lang w:val="es-CL"/>
        </w:rPr>
        <w:t xml:space="preserve">Arrendamiento </w:t>
      </w:r>
    </w:p>
    <w:p w:rsidR="002E6365" w:rsidRPr="003E48A1" w:rsidRDefault="002E6365" w:rsidP="003E48A1">
      <w:pPr>
        <w:autoSpaceDE w:val="0"/>
        <w:autoSpaceDN w:val="0"/>
        <w:adjustRightInd w:val="0"/>
        <w:ind w:left="567"/>
        <w:jc w:val="both"/>
        <w:rPr>
          <w:rFonts w:ascii="Times New Roman" w:hAnsi="Times New Roman"/>
          <w:spacing w:val="-2"/>
          <w:sz w:val="20"/>
          <w:szCs w:val="20"/>
        </w:rPr>
      </w:pPr>
      <w:r w:rsidRPr="003E48A1">
        <w:rPr>
          <w:rFonts w:ascii="Times New Roman" w:hAnsi="Times New Roman"/>
          <w:spacing w:val="-2"/>
          <w:sz w:val="20"/>
          <w:szCs w:val="20"/>
        </w:rPr>
        <w:t>Los arrendamientos en los que se transfieren sustancialmente todos los riesgos y beneficios a la propiedad se clasifican como financieros, la empresa no presenta estos arriendos al término de los ejercicios al 31 de diciembre de 20</w:t>
      </w:r>
      <w:r>
        <w:rPr>
          <w:rFonts w:ascii="Times New Roman" w:hAnsi="Times New Roman"/>
          <w:spacing w:val="-2"/>
          <w:sz w:val="20"/>
          <w:szCs w:val="20"/>
        </w:rPr>
        <w:t>13</w:t>
      </w:r>
      <w:r w:rsidRPr="003E48A1">
        <w:rPr>
          <w:rFonts w:ascii="Times New Roman" w:hAnsi="Times New Roman"/>
          <w:spacing w:val="-2"/>
          <w:sz w:val="20"/>
          <w:szCs w:val="20"/>
        </w:rPr>
        <w:t xml:space="preserve"> </w:t>
      </w:r>
      <w:r>
        <w:rPr>
          <w:rFonts w:ascii="Times New Roman" w:hAnsi="Times New Roman"/>
          <w:spacing w:val="-2"/>
          <w:sz w:val="20"/>
          <w:szCs w:val="20"/>
        </w:rPr>
        <w:t>y 31 de diciembre 2012</w:t>
      </w:r>
      <w:r w:rsidRPr="003E48A1">
        <w:rPr>
          <w:rFonts w:ascii="Times New Roman" w:hAnsi="Times New Roman"/>
          <w:spacing w:val="-2"/>
          <w:sz w:val="20"/>
          <w:szCs w:val="20"/>
        </w:rPr>
        <w:t xml:space="preserve">. </w:t>
      </w:r>
    </w:p>
    <w:p w:rsidR="002E6365" w:rsidRPr="003E48A1" w:rsidRDefault="002E6365" w:rsidP="003E48A1">
      <w:pPr>
        <w:pStyle w:val="ListParagraph"/>
        <w:tabs>
          <w:tab w:val="left" w:pos="567"/>
        </w:tabs>
        <w:autoSpaceDE w:val="0"/>
        <w:autoSpaceDN w:val="0"/>
        <w:adjustRightInd w:val="0"/>
        <w:ind w:left="567"/>
        <w:jc w:val="both"/>
        <w:rPr>
          <w:b/>
          <w:spacing w:val="-3"/>
          <w:sz w:val="20"/>
          <w:szCs w:val="20"/>
          <w:lang w:val="es-CL"/>
        </w:rPr>
      </w:pPr>
      <w:r>
        <w:rPr>
          <w:b/>
          <w:spacing w:val="-3"/>
          <w:sz w:val="20"/>
          <w:szCs w:val="20"/>
          <w:lang w:val="es-CL"/>
        </w:rPr>
        <w:br w:type="page"/>
      </w:r>
    </w:p>
    <w:p w:rsidR="002E6365" w:rsidRPr="003E48A1" w:rsidRDefault="002E6365" w:rsidP="00F70101">
      <w:pPr>
        <w:pStyle w:val="ListParagraph"/>
        <w:numPr>
          <w:ilvl w:val="1"/>
          <w:numId w:val="16"/>
        </w:numPr>
        <w:tabs>
          <w:tab w:val="left" w:pos="567"/>
        </w:tabs>
        <w:autoSpaceDE w:val="0"/>
        <w:autoSpaceDN w:val="0"/>
        <w:adjustRightInd w:val="0"/>
        <w:ind w:left="567" w:hanging="567"/>
        <w:jc w:val="both"/>
        <w:rPr>
          <w:b/>
          <w:spacing w:val="-3"/>
          <w:sz w:val="20"/>
          <w:szCs w:val="20"/>
          <w:lang w:val="es-CL"/>
        </w:rPr>
      </w:pPr>
      <w:r w:rsidRPr="003E48A1">
        <w:rPr>
          <w:b/>
          <w:spacing w:val="-3"/>
          <w:sz w:val="20"/>
          <w:szCs w:val="20"/>
          <w:lang w:val="es-CL"/>
        </w:rPr>
        <w:t>Estado de Flujos de Efectivo</w:t>
      </w:r>
      <w:bookmarkEnd w:id="8"/>
    </w:p>
    <w:p w:rsidR="002E6365" w:rsidRPr="003E48A1" w:rsidRDefault="002E6365" w:rsidP="003E48A1">
      <w:pPr>
        <w:autoSpaceDE w:val="0"/>
        <w:autoSpaceDN w:val="0"/>
        <w:adjustRightInd w:val="0"/>
        <w:ind w:left="567"/>
        <w:jc w:val="both"/>
        <w:rPr>
          <w:rFonts w:ascii="Times New Roman" w:hAnsi="Times New Roman"/>
          <w:spacing w:val="-2"/>
          <w:sz w:val="20"/>
          <w:szCs w:val="20"/>
        </w:rPr>
      </w:pPr>
      <w:r w:rsidRPr="003E48A1">
        <w:rPr>
          <w:rFonts w:ascii="Times New Roman" w:hAnsi="Times New Roman"/>
          <w:spacing w:val="-2"/>
          <w:sz w:val="20"/>
          <w:szCs w:val="20"/>
        </w:rPr>
        <w:t>Para la elaboración del estado de flujos de efectivo realizado por el método indirecto se toman en consideración los siguientes conceptos:</w:t>
      </w:r>
    </w:p>
    <w:p w:rsidR="002E6365" w:rsidRDefault="002E6365" w:rsidP="000B2A1C">
      <w:pPr>
        <w:pStyle w:val="ListParagraph"/>
        <w:widowControl w:val="0"/>
        <w:numPr>
          <w:ilvl w:val="0"/>
          <w:numId w:val="15"/>
        </w:numPr>
        <w:autoSpaceDE w:val="0"/>
        <w:autoSpaceDN w:val="0"/>
        <w:adjustRightInd w:val="0"/>
        <w:ind w:left="1134" w:hanging="567"/>
        <w:jc w:val="both"/>
        <w:rPr>
          <w:sz w:val="20"/>
          <w:szCs w:val="20"/>
          <w:lang w:val="es-CL" w:eastAsia="es-AR"/>
        </w:rPr>
      </w:pPr>
      <w:r>
        <w:rPr>
          <w:sz w:val="20"/>
          <w:szCs w:val="20"/>
          <w:lang w:val="es-CL" w:eastAsia="es-AR"/>
        </w:rPr>
        <w:t>Flujos de efectivo</w:t>
      </w:r>
    </w:p>
    <w:p w:rsidR="002E6365" w:rsidRDefault="002E6365" w:rsidP="000B2A1C">
      <w:pPr>
        <w:pStyle w:val="ListParagraph"/>
        <w:widowControl w:val="0"/>
        <w:numPr>
          <w:ilvl w:val="0"/>
          <w:numId w:val="15"/>
        </w:numPr>
        <w:autoSpaceDE w:val="0"/>
        <w:autoSpaceDN w:val="0"/>
        <w:adjustRightInd w:val="0"/>
        <w:ind w:left="1134" w:hanging="567"/>
        <w:jc w:val="both"/>
        <w:rPr>
          <w:sz w:val="20"/>
          <w:szCs w:val="20"/>
          <w:lang w:val="es-CL" w:eastAsia="es-AR"/>
        </w:rPr>
      </w:pPr>
      <w:r>
        <w:rPr>
          <w:sz w:val="20"/>
          <w:szCs w:val="20"/>
          <w:lang w:val="es-CL" w:eastAsia="es-AR"/>
        </w:rPr>
        <w:t>Actividades operacionales</w:t>
      </w:r>
    </w:p>
    <w:p w:rsidR="002E6365" w:rsidRDefault="002E6365" w:rsidP="000B2A1C">
      <w:pPr>
        <w:pStyle w:val="ListParagraph"/>
        <w:widowControl w:val="0"/>
        <w:numPr>
          <w:ilvl w:val="0"/>
          <w:numId w:val="15"/>
        </w:numPr>
        <w:autoSpaceDE w:val="0"/>
        <w:autoSpaceDN w:val="0"/>
        <w:adjustRightInd w:val="0"/>
        <w:ind w:left="1134" w:hanging="567"/>
        <w:jc w:val="both"/>
        <w:rPr>
          <w:sz w:val="20"/>
          <w:szCs w:val="20"/>
          <w:lang w:val="es-CL" w:eastAsia="es-AR"/>
        </w:rPr>
      </w:pPr>
      <w:r>
        <w:rPr>
          <w:sz w:val="20"/>
          <w:szCs w:val="20"/>
          <w:lang w:val="es-CL" w:eastAsia="es-AR"/>
        </w:rPr>
        <w:t>Actividades de inversión</w:t>
      </w:r>
    </w:p>
    <w:p w:rsidR="002E6365" w:rsidRDefault="002E6365" w:rsidP="000B2A1C">
      <w:pPr>
        <w:pStyle w:val="ListParagraph"/>
        <w:widowControl w:val="0"/>
        <w:numPr>
          <w:ilvl w:val="0"/>
          <w:numId w:val="15"/>
        </w:numPr>
        <w:autoSpaceDE w:val="0"/>
        <w:autoSpaceDN w:val="0"/>
        <w:adjustRightInd w:val="0"/>
        <w:ind w:left="1134" w:hanging="567"/>
        <w:jc w:val="both"/>
        <w:rPr>
          <w:sz w:val="20"/>
          <w:szCs w:val="20"/>
          <w:lang w:val="es-CL" w:eastAsia="es-AR"/>
        </w:rPr>
      </w:pPr>
      <w:r w:rsidRPr="000B2A1C">
        <w:rPr>
          <w:sz w:val="20"/>
          <w:szCs w:val="20"/>
          <w:lang w:val="es-CL" w:eastAsia="es-AR"/>
        </w:rPr>
        <w:t>Actividades de financiamiento</w:t>
      </w:r>
    </w:p>
    <w:p w:rsidR="002E6365" w:rsidRPr="000B2A1C" w:rsidRDefault="002E6365" w:rsidP="00F70101">
      <w:pPr>
        <w:pStyle w:val="ListParagraph"/>
        <w:widowControl w:val="0"/>
        <w:autoSpaceDE w:val="0"/>
        <w:autoSpaceDN w:val="0"/>
        <w:adjustRightInd w:val="0"/>
        <w:ind w:left="1134"/>
        <w:jc w:val="both"/>
        <w:rPr>
          <w:sz w:val="20"/>
          <w:szCs w:val="20"/>
          <w:lang w:val="es-CL" w:eastAsia="es-AR"/>
        </w:rPr>
      </w:pPr>
    </w:p>
    <w:p w:rsidR="002E6365" w:rsidRPr="003E48A1" w:rsidRDefault="002E6365" w:rsidP="00F70101">
      <w:pPr>
        <w:pStyle w:val="ListParagraph"/>
        <w:numPr>
          <w:ilvl w:val="1"/>
          <w:numId w:val="16"/>
        </w:numPr>
        <w:tabs>
          <w:tab w:val="left" w:pos="567"/>
        </w:tabs>
        <w:autoSpaceDE w:val="0"/>
        <w:autoSpaceDN w:val="0"/>
        <w:adjustRightInd w:val="0"/>
        <w:ind w:left="567" w:hanging="567"/>
        <w:jc w:val="both"/>
        <w:rPr>
          <w:b/>
          <w:spacing w:val="-3"/>
          <w:sz w:val="20"/>
          <w:szCs w:val="20"/>
          <w:lang w:val="es-CL"/>
        </w:rPr>
      </w:pPr>
      <w:r w:rsidRPr="003E48A1">
        <w:rPr>
          <w:b/>
          <w:spacing w:val="-3"/>
          <w:sz w:val="20"/>
          <w:szCs w:val="20"/>
          <w:lang w:val="es-CL"/>
        </w:rPr>
        <w:t>Clasificación de Saldos en Corrientes y no Corrientes</w:t>
      </w:r>
    </w:p>
    <w:p w:rsidR="002E6365" w:rsidRPr="003E48A1" w:rsidRDefault="002E6365" w:rsidP="003E48A1">
      <w:pPr>
        <w:autoSpaceDE w:val="0"/>
        <w:autoSpaceDN w:val="0"/>
        <w:adjustRightInd w:val="0"/>
        <w:ind w:left="567"/>
        <w:jc w:val="both"/>
        <w:rPr>
          <w:rFonts w:ascii="Times New Roman" w:hAnsi="Times New Roman"/>
          <w:spacing w:val="-2"/>
          <w:sz w:val="20"/>
          <w:szCs w:val="20"/>
        </w:rPr>
      </w:pPr>
      <w:r w:rsidRPr="003E48A1">
        <w:rPr>
          <w:rFonts w:ascii="Times New Roman" w:hAnsi="Times New Roman"/>
          <w:spacing w:val="-2"/>
          <w:sz w:val="20"/>
          <w:szCs w:val="20"/>
        </w:rPr>
        <w:t>En el estado de situación financiera, los saldos se clasifican en función de sus vencimientos, es decir, como corrientes aquellos con vencimiento igual o inferior a doce meses y como no corrientes, aquellos con vencimiento superior a dicho período.</w:t>
      </w:r>
    </w:p>
    <w:p w:rsidR="002E6365" w:rsidRPr="003E48A1" w:rsidRDefault="002E6365" w:rsidP="00F70101">
      <w:pPr>
        <w:pStyle w:val="ListParagraph"/>
        <w:numPr>
          <w:ilvl w:val="1"/>
          <w:numId w:val="16"/>
        </w:numPr>
        <w:tabs>
          <w:tab w:val="left" w:pos="567"/>
        </w:tabs>
        <w:autoSpaceDE w:val="0"/>
        <w:autoSpaceDN w:val="0"/>
        <w:adjustRightInd w:val="0"/>
        <w:ind w:left="567" w:hanging="567"/>
        <w:jc w:val="both"/>
        <w:rPr>
          <w:b/>
          <w:spacing w:val="-3"/>
          <w:sz w:val="20"/>
          <w:szCs w:val="20"/>
          <w:lang w:val="es-CL"/>
        </w:rPr>
      </w:pPr>
      <w:r w:rsidRPr="003E48A1">
        <w:rPr>
          <w:b/>
          <w:spacing w:val="-3"/>
          <w:sz w:val="20"/>
          <w:szCs w:val="20"/>
          <w:lang w:val="es-CL"/>
        </w:rPr>
        <w:t>Costos Financieros</w:t>
      </w:r>
    </w:p>
    <w:p w:rsidR="002E6365" w:rsidRPr="003E48A1" w:rsidRDefault="002E6365" w:rsidP="003E48A1">
      <w:pPr>
        <w:autoSpaceDE w:val="0"/>
        <w:autoSpaceDN w:val="0"/>
        <w:adjustRightInd w:val="0"/>
        <w:ind w:left="567"/>
        <w:jc w:val="both"/>
        <w:rPr>
          <w:rFonts w:ascii="Times New Roman" w:hAnsi="Times New Roman"/>
          <w:color w:val="000000"/>
          <w:spacing w:val="-2"/>
          <w:sz w:val="20"/>
          <w:szCs w:val="20"/>
        </w:rPr>
      </w:pPr>
      <w:r w:rsidRPr="003E48A1">
        <w:rPr>
          <w:rFonts w:ascii="Times New Roman" w:hAnsi="Times New Roman"/>
          <w:color w:val="000000"/>
          <w:spacing w:val="-2"/>
          <w:sz w:val="20"/>
          <w:szCs w:val="20"/>
        </w:rPr>
        <w:t>Los costos financieros son reconocidos cuando estos se incurren o devengan al cierre de cada ejercicio.</w:t>
      </w:r>
    </w:p>
    <w:p w:rsidR="002E6365" w:rsidRPr="003E48A1" w:rsidRDefault="002E6365" w:rsidP="00F70101">
      <w:pPr>
        <w:pStyle w:val="ListParagraph"/>
        <w:numPr>
          <w:ilvl w:val="1"/>
          <w:numId w:val="16"/>
        </w:numPr>
        <w:tabs>
          <w:tab w:val="left" w:pos="567"/>
        </w:tabs>
        <w:autoSpaceDE w:val="0"/>
        <w:autoSpaceDN w:val="0"/>
        <w:adjustRightInd w:val="0"/>
        <w:ind w:left="567" w:hanging="567"/>
        <w:jc w:val="both"/>
        <w:rPr>
          <w:b/>
          <w:spacing w:val="-3"/>
          <w:sz w:val="20"/>
          <w:szCs w:val="20"/>
          <w:lang w:val="es-CL"/>
        </w:rPr>
      </w:pPr>
      <w:r w:rsidRPr="003E48A1">
        <w:rPr>
          <w:b/>
          <w:spacing w:val="-3"/>
          <w:sz w:val="20"/>
          <w:szCs w:val="20"/>
          <w:lang w:val="es-CL"/>
        </w:rPr>
        <w:t>Gastos de Administración</w:t>
      </w:r>
    </w:p>
    <w:p w:rsidR="002E6365" w:rsidRPr="003E48A1" w:rsidRDefault="002E6365" w:rsidP="003E48A1">
      <w:pPr>
        <w:autoSpaceDE w:val="0"/>
        <w:autoSpaceDN w:val="0"/>
        <w:adjustRightInd w:val="0"/>
        <w:ind w:left="567"/>
        <w:jc w:val="both"/>
        <w:rPr>
          <w:rFonts w:ascii="Times New Roman" w:hAnsi="Times New Roman"/>
          <w:spacing w:val="-2"/>
          <w:sz w:val="20"/>
          <w:szCs w:val="20"/>
        </w:rPr>
      </w:pPr>
      <w:r w:rsidRPr="003E48A1">
        <w:rPr>
          <w:rFonts w:ascii="Times New Roman" w:hAnsi="Times New Roman"/>
          <w:spacing w:val="-2"/>
          <w:sz w:val="20"/>
          <w:szCs w:val="20"/>
        </w:rPr>
        <w:t>Los gastos de administración comprenden las depreciaciones de oficinas, equipos, instalaciones y muebles utilizados en estas funciones y otros gastos generales y de administración.</w:t>
      </w:r>
    </w:p>
    <w:p w:rsidR="002E6365" w:rsidRPr="003E48A1" w:rsidRDefault="002E6365" w:rsidP="00F70101">
      <w:pPr>
        <w:pStyle w:val="ListParagraph"/>
        <w:numPr>
          <w:ilvl w:val="1"/>
          <w:numId w:val="16"/>
        </w:numPr>
        <w:tabs>
          <w:tab w:val="left" w:pos="567"/>
        </w:tabs>
        <w:autoSpaceDE w:val="0"/>
        <w:autoSpaceDN w:val="0"/>
        <w:adjustRightInd w:val="0"/>
        <w:ind w:left="567" w:hanging="567"/>
        <w:jc w:val="both"/>
        <w:rPr>
          <w:b/>
          <w:spacing w:val="-3"/>
          <w:sz w:val="20"/>
          <w:szCs w:val="20"/>
          <w:lang w:val="es-CL"/>
        </w:rPr>
      </w:pPr>
      <w:r w:rsidRPr="003E48A1">
        <w:rPr>
          <w:b/>
          <w:spacing w:val="-3"/>
          <w:sz w:val="20"/>
          <w:szCs w:val="20"/>
          <w:lang w:val="es-CL"/>
        </w:rPr>
        <w:t>Instrumentos Financieros</w:t>
      </w:r>
    </w:p>
    <w:p w:rsidR="002E6365" w:rsidRPr="003E48A1" w:rsidRDefault="002E6365" w:rsidP="003E48A1">
      <w:pPr>
        <w:pStyle w:val="ListParagraph"/>
        <w:numPr>
          <w:ilvl w:val="0"/>
          <w:numId w:val="8"/>
        </w:numPr>
        <w:tabs>
          <w:tab w:val="left" w:pos="567"/>
        </w:tabs>
        <w:autoSpaceDE w:val="0"/>
        <w:autoSpaceDN w:val="0"/>
        <w:adjustRightInd w:val="0"/>
        <w:ind w:left="993" w:hanging="426"/>
        <w:jc w:val="both"/>
        <w:rPr>
          <w:b/>
          <w:sz w:val="20"/>
          <w:szCs w:val="20"/>
          <w:lang w:val="es-CL"/>
        </w:rPr>
      </w:pPr>
      <w:r w:rsidRPr="003E48A1">
        <w:rPr>
          <w:b/>
          <w:sz w:val="20"/>
          <w:szCs w:val="20"/>
          <w:lang w:val="es-CL"/>
        </w:rPr>
        <w:t>Efectivo y equivalentes al efectivo</w:t>
      </w:r>
    </w:p>
    <w:p w:rsidR="002E6365" w:rsidRPr="003E48A1" w:rsidRDefault="002E6365" w:rsidP="003E48A1">
      <w:pPr>
        <w:pStyle w:val="ListParagraph"/>
        <w:numPr>
          <w:ilvl w:val="0"/>
          <w:numId w:val="8"/>
        </w:numPr>
        <w:tabs>
          <w:tab w:val="left" w:pos="567"/>
        </w:tabs>
        <w:autoSpaceDE w:val="0"/>
        <w:autoSpaceDN w:val="0"/>
        <w:adjustRightInd w:val="0"/>
        <w:ind w:left="993" w:hanging="426"/>
        <w:jc w:val="both"/>
        <w:rPr>
          <w:b/>
          <w:spacing w:val="-3"/>
          <w:sz w:val="20"/>
          <w:szCs w:val="20"/>
          <w:lang w:val="es-CL"/>
        </w:rPr>
      </w:pPr>
      <w:r w:rsidRPr="003E48A1">
        <w:rPr>
          <w:b/>
          <w:sz w:val="20"/>
          <w:szCs w:val="20"/>
          <w:lang w:val="es-CL"/>
        </w:rPr>
        <w:t>Deudores</w:t>
      </w:r>
      <w:r w:rsidRPr="003E48A1">
        <w:rPr>
          <w:b/>
          <w:spacing w:val="-3"/>
          <w:sz w:val="20"/>
          <w:szCs w:val="20"/>
          <w:lang w:val="es-CL"/>
        </w:rPr>
        <w:t xml:space="preserve"> comerciales y otras cuentas por cobrar</w:t>
      </w:r>
    </w:p>
    <w:p w:rsidR="002E6365" w:rsidRPr="003E48A1" w:rsidRDefault="002E6365" w:rsidP="003E48A1">
      <w:pPr>
        <w:pStyle w:val="ListParagraph"/>
        <w:numPr>
          <w:ilvl w:val="0"/>
          <w:numId w:val="8"/>
        </w:numPr>
        <w:tabs>
          <w:tab w:val="left" w:pos="567"/>
        </w:tabs>
        <w:autoSpaceDE w:val="0"/>
        <w:autoSpaceDN w:val="0"/>
        <w:adjustRightInd w:val="0"/>
        <w:ind w:left="993" w:hanging="426"/>
        <w:jc w:val="both"/>
        <w:rPr>
          <w:b/>
          <w:spacing w:val="-3"/>
          <w:sz w:val="20"/>
          <w:szCs w:val="20"/>
          <w:lang w:val="es-CL"/>
        </w:rPr>
      </w:pPr>
      <w:r w:rsidRPr="003E48A1">
        <w:rPr>
          <w:b/>
          <w:spacing w:val="-3"/>
          <w:sz w:val="20"/>
          <w:szCs w:val="20"/>
          <w:lang w:val="es-CL"/>
        </w:rPr>
        <w:t>Acreedores comerciales y otras cuentas por pagar</w:t>
      </w:r>
    </w:p>
    <w:p w:rsidR="002E6365" w:rsidRDefault="002E6365" w:rsidP="003E48A1">
      <w:pPr>
        <w:pStyle w:val="ListParagraph"/>
        <w:numPr>
          <w:ilvl w:val="0"/>
          <w:numId w:val="8"/>
        </w:numPr>
        <w:tabs>
          <w:tab w:val="left" w:pos="567"/>
        </w:tabs>
        <w:autoSpaceDE w:val="0"/>
        <w:autoSpaceDN w:val="0"/>
        <w:adjustRightInd w:val="0"/>
        <w:ind w:left="993" w:hanging="426"/>
        <w:jc w:val="both"/>
        <w:rPr>
          <w:b/>
          <w:spacing w:val="-3"/>
          <w:sz w:val="20"/>
          <w:szCs w:val="20"/>
          <w:lang w:val="es-CL"/>
        </w:rPr>
      </w:pPr>
      <w:r w:rsidRPr="003E48A1">
        <w:rPr>
          <w:b/>
          <w:spacing w:val="-3"/>
          <w:sz w:val="20"/>
          <w:szCs w:val="20"/>
          <w:lang w:val="es-CL"/>
        </w:rPr>
        <w:t>Préstamos que devengan intereses</w:t>
      </w:r>
    </w:p>
    <w:p w:rsidR="002E6365" w:rsidRPr="003E48A1" w:rsidRDefault="002E6365" w:rsidP="00F70101">
      <w:pPr>
        <w:pStyle w:val="ListParagraph"/>
        <w:tabs>
          <w:tab w:val="left" w:pos="567"/>
        </w:tabs>
        <w:autoSpaceDE w:val="0"/>
        <w:autoSpaceDN w:val="0"/>
        <w:adjustRightInd w:val="0"/>
        <w:ind w:left="993"/>
        <w:jc w:val="both"/>
        <w:rPr>
          <w:b/>
          <w:spacing w:val="-3"/>
          <w:sz w:val="20"/>
          <w:szCs w:val="20"/>
          <w:lang w:val="es-CL"/>
        </w:rPr>
      </w:pPr>
    </w:p>
    <w:p w:rsidR="002E6365" w:rsidRPr="003E48A1" w:rsidRDefault="002E6365" w:rsidP="00F70101">
      <w:pPr>
        <w:pStyle w:val="ListParagraph"/>
        <w:numPr>
          <w:ilvl w:val="1"/>
          <w:numId w:val="16"/>
        </w:numPr>
        <w:tabs>
          <w:tab w:val="left" w:pos="567"/>
        </w:tabs>
        <w:autoSpaceDE w:val="0"/>
        <w:autoSpaceDN w:val="0"/>
        <w:adjustRightInd w:val="0"/>
        <w:ind w:left="567" w:hanging="567"/>
        <w:jc w:val="both"/>
        <w:rPr>
          <w:b/>
          <w:spacing w:val="-3"/>
          <w:sz w:val="20"/>
          <w:szCs w:val="20"/>
          <w:lang w:val="es-CL"/>
        </w:rPr>
      </w:pPr>
      <w:r w:rsidRPr="003E48A1">
        <w:rPr>
          <w:b/>
          <w:spacing w:val="-3"/>
          <w:sz w:val="20"/>
          <w:szCs w:val="20"/>
          <w:lang w:val="es-CL"/>
        </w:rPr>
        <w:t>Uso de Estimaciones y Juicios</w:t>
      </w:r>
    </w:p>
    <w:p w:rsidR="002E6365" w:rsidRPr="003E48A1" w:rsidRDefault="002E6365" w:rsidP="003E48A1">
      <w:pPr>
        <w:autoSpaceDE w:val="0"/>
        <w:autoSpaceDN w:val="0"/>
        <w:adjustRightInd w:val="0"/>
        <w:ind w:left="567"/>
        <w:jc w:val="both"/>
        <w:rPr>
          <w:rFonts w:ascii="Times New Roman" w:hAnsi="Times New Roman"/>
          <w:spacing w:val="-2"/>
          <w:sz w:val="20"/>
          <w:szCs w:val="20"/>
        </w:rPr>
      </w:pPr>
      <w:r w:rsidRPr="003E48A1">
        <w:rPr>
          <w:rFonts w:ascii="Times New Roman" w:hAnsi="Times New Roman"/>
          <w:spacing w:val="-2"/>
          <w:sz w:val="20"/>
          <w:szCs w:val="20"/>
        </w:rPr>
        <w:t>En la preparación de los estados financieros, la Administración realiza juicios, estimaciones y supuestos que afectan la aplicación de las políticas de contabilidad y los montos de activos, pasivos, ingresos y gastos presentados. Los resultados reales pueden diferir de estas estimaciones.</w:t>
      </w:r>
    </w:p>
    <w:p w:rsidR="002E6365" w:rsidRPr="003E48A1" w:rsidRDefault="002E6365" w:rsidP="00F70101">
      <w:pPr>
        <w:pStyle w:val="ListParagraph"/>
        <w:widowControl w:val="0"/>
        <w:numPr>
          <w:ilvl w:val="0"/>
          <w:numId w:val="10"/>
        </w:numPr>
        <w:tabs>
          <w:tab w:val="left" w:pos="1134"/>
        </w:tabs>
        <w:autoSpaceDE w:val="0"/>
        <w:autoSpaceDN w:val="0"/>
        <w:adjustRightInd w:val="0"/>
        <w:ind w:left="1134" w:hanging="567"/>
        <w:jc w:val="both"/>
        <w:rPr>
          <w:sz w:val="20"/>
          <w:szCs w:val="20"/>
          <w:lang w:val="es-CL" w:eastAsia="es-AR"/>
        </w:rPr>
      </w:pPr>
      <w:r w:rsidRPr="003E48A1">
        <w:rPr>
          <w:b/>
          <w:sz w:val="20"/>
          <w:szCs w:val="20"/>
          <w:lang w:val="es-CL" w:eastAsia="es-AR"/>
        </w:rPr>
        <w:t>Las pérdidas por deterioro de determinados activos</w:t>
      </w:r>
    </w:p>
    <w:p w:rsidR="002E6365" w:rsidRDefault="002E6365" w:rsidP="003E48A1">
      <w:pPr>
        <w:pStyle w:val="ListParagraph"/>
        <w:widowControl w:val="0"/>
        <w:numPr>
          <w:ilvl w:val="0"/>
          <w:numId w:val="10"/>
        </w:numPr>
        <w:tabs>
          <w:tab w:val="left" w:pos="1134"/>
        </w:tabs>
        <w:autoSpaceDE w:val="0"/>
        <w:autoSpaceDN w:val="0"/>
        <w:adjustRightInd w:val="0"/>
        <w:ind w:left="1134" w:hanging="567"/>
        <w:jc w:val="both"/>
        <w:rPr>
          <w:b/>
          <w:sz w:val="20"/>
          <w:szCs w:val="20"/>
          <w:lang w:val="es-CL" w:eastAsia="es-AR"/>
        </w:rPr>
      </w:pPr>
      <w:r w:rsidRPr="00F70101">
        <w:rPr>
          <w:b/>
          <w:sz w:val="20"/>
          <w:szCs w:val="20"/>
          <w:lang w:val="es-CL" w:eastAsia="es-AR"/>
        </w:rPr>
        <w:t>La vida útil de los activos materiales</w:t>
      </w:r>
    </w:p>
    <w:p w:rsidR="002E6365" w:rsidRPr="00F70101" w:rsidRDefault="002E6365" w:rsidP="00CD081F">
      <w:pPr>
        <w:pStyle w:val="ListParagraph"/>
        <w:widowControl w:val="0"/>
        <w:numPr>
          <w:ilvl w:val="0"/>
          <w:numId w:val="10"/>
        </w:numPr>
        <w:tabs>
          <w:tab w:val="left" w:pos="1134"/>
        </w:tabs>
        <w:autoSpaceDE w:val="0"/>
        <w:autoSpaceDN w:val="0"/>
        <w:adjustRightInd w:val="0"/>
        <w:ind w:left="1134" w:hanging="567"/>
        <w:jc w:val="both"/>
        <w:rPr>
          <w:sz w:val="20"/>
          <w:szCs w:val="20"/>
        </w:rPr>
      </w:pPr>
      <w:r w:rsidRPr="00F70101">
        <w:rPr>
          <w:b/>
          <w:sz w:val="20"/>
          <w:szCs w:val="20"/>
          <w:lang w:val="es-CL" w:eastAsia="es-AR"/>
        </w:rPr>
        <w:t>Litigios y contingencias</w:t>
      </w:r>
    </w:p>
    <w:p w:rsidR="002E6365" w:rsidRPr="00F70101" w:rsidRDefault="002E6365" w:rsidP="00F70101">
      <w:pPr>
        <w:pStyle w:val="ListParagraph"/>
        <w:widowControl w:val="0"/>
        <w:tabs>
          <w:tab w:val="left" w:pos="1134"/>
        </w:tabs>
        <w:autoSpaceDE w:val="0"/>
        <w:autoSpaceDN w:val="0"/>
        <w:adjustRightInd w:val="0"/>
        <w:ind w:left="1134"/>
        <w:jc w:val="both"/>
        <w:rPr>
          <w:sz w:val="20"/>
          <w:szCs w:val="20"/>
        </w:rPr>
      </w:pPr>
    </w:p>
    <w:sectPr w:rsidR="002E6365" w:rsidRPr="00F70101" w:rsidSect="000B66A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18C3"/>
    <w:multiLevelType w:val="hybridMultilevel"/>
    <w:tmpl w:val="7158D948"/>
    <w:lvl w:ilvl="0" w:tplc="340A0017">
      <w:start w:val="1"/>
      <w:numFmt w:val="lowerLetter"/>
      <w:lvlText w:val="%1)"/>
      <w:lvlJc w:val="left"/>
      <w:pPr>
        <w:ind w:left="2345" w:hanging="360"/>
      </w:pPr>
      <w:rPr>
        <w:rFonts w:cs="Times New Roman"/>
      </w:rPr>
    </w:lvl>
    <w:lvl w:ilvl="1" w:tplc="5588C790">
      <w:start w:val="1"/>
      <w:numFmt w:val="lowerRoman"/>
      <w:lvlText w:val="(%2)"/>
      <w:lvlJc w:val="left"/>
      <w:pPr>
        <w:ind w:left="1800" w:hanging="720"/>
      </w:pPr>
      <w:rPr>
        <w:rFonts w:cs="Times New Roman" w:hint="default"/>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
    <w:nsid w:val="0296641A"/>
    <w:multiLevelType w:val="hybridMultilevel"/>
    <w:tmpl w:val="0F5E0406"/>
    <w:lvl w:ilvl="0" w:tplc="340A0017">
      <w:start w:val="1"/>
      <w:numFmt w:val="lowerLetter"/>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
    <w:nsid w:val="070631DA"/>
    <w:multiLevelType w:val="multilevel"/>
    <w:tmpl w:val="B128E0AE"/>
    <w:lvl w:ilvl="0">
      <w:start w:val="2"/>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rPr>
    </w:lvl>
    <w:lvl w:ilvl="2">
      <w:start w:val="1"/>
      <w:numFmt w:val="decimal"/>
      <w:lvlText w:val="%1.%2.%3"/>
      <w:lvlJc w:val="left"/>
      <w:pPr>
        <w:ind w:left="2574" w:hanging="720"/>
      </w:pPr>
      <w:rPr>
        <w:rFonts w:cs="Times New Roman" w:hint="default"/>
        <w:b/>
      </w:rPr>
    </w:lvl>
    <w:lvl w:ilvl="3">
      <w:start w:val="1"/>
      <w:numFmt w:val="decimal"/>
      <w:lvlText w:val="%1.%2.%3.%4"/>
      <w:lvlJc w:val="left"/>
      <w:pPr>
        <w:ind w:left="3501" w:hanging="720"/>
      </w:pPr>
      <w:rPr>
        <w:rFonts w:cs="Times New Roman" w:hint="default"/>
      </w:rPr>
    </w:lvl>
    <w:lvl w:ilvl="4">
      <w:start w:val="1"/>
      <w:numFmt w:val="decimal"/>
      <w:lvlText w:val="%1.%2.%3.%4.%5"/>
      <w:lvlJc w:val="left"/>
      <w:pPr>
        <w:ind w:left="4428" w:hanging="72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6642" w:hanging="108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8856" w:hanging="1440"/>
      </w:pPr>
      <w:rPr>
        <w:rFonts w:cs="Times New Roman" w:hint="default"/>
      </w:rPr>
    </w:lvl>
  </w:abstractNum>
  <w:abstractNum w:abstractNumId="3">
    <w:nsid w:val="0AA91971"/>
    <w:multiLevelType w:val="hybridMultilevel"/>
    <w:tmpl w:val="91CEF45E"/>
    <w:lvl w:ilvl="0" w:tplc="80BE63E0">
      <w:start w:val="1"/>
      <w:numFmt w:val="lowerLetter"/>
      <w:lvlText w:val="%1)"/>
      <w:lvlJc w:val="left"/>
      <w:pPr>
        <w:ind w:left="927" w:hanging="360"/>
      </w:pPr>
      <w:rPr>
        <w:rFonts w:cs="Times New Roman" w:hint="default"/>
        <w:b/>
      </w:rPr>
    </w:lvl>
    <w:lvl w:ilvl="1" w:tplc="0C0A0019" w:tentative="1">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4">
    <w:nsid w:val="14F528B1"/>
    <w:multiLevelType w:val="multilevel"/>
    <w:tmpl w:val="C3E02580"/>
    <w:lvl w:ilvl="0">
      <w:start w:val="3"/>
      <w:numFmt w:val="decimal"/>
      <w:lvlText w:val="%1."/>
      <w:lvlJc w:val="left"/>
      <w:pPr>
        <w:ind w:left="360" w:hanging="360"/>
      </w:pPr>
      <w:rPr>
        <w:rFonts w:cs="Times New Roman" w:hint="default"/>
      </w:rPr>
    </w:lvl>
    <w:lvl w:ilvl="1">
      <w:start w:val="3"/>
      <w:numFmt w:val="decimal"/>
      <w:lvlText w:val="%1.%2."/>
      <w:lvlJc w:val="left"/>
      <w:pPr>
        <w:ind w:left="927" w:hanging="360"/>
      </w:pPr>
      <w:rPr>
        <w:rFonts w:cs="Times New Roman" w:hint="default"/>
        <w:b/>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5">
    <w:nsid w:val="1785054F"/>
    <w:multiLevelType w:val="hybridMultilevel"/>
    <w:tmpl w:val="9FA652B2"/>
    <w:lvl w:ilvl="0" w:tplc="4B6496AE">
      <w:start w:val="5"/>
      <w:numFmt w:val="decimal"/>
      <w:lvlText w:val="3.%1"/>
      <w:lvlJc w:val="left"/>
      <w:pPr>
        <w:ind w:left="927"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6">
    <w:nsid w:val="33A909C0"/>
    <w:multiLevelType w:val="hybridMultilevel"/>
    <w:tmpl w:val="99BEAE18"/>
    <w:lvl w:ilvl="0" w:tplc="340A0017">
      <w:start w:val="1"/>
      <w:numFmt w:val="lowerLetter"/>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7">
    <w:nsid w:val="53F81902"/>
    <w:multiLevelType w:val="multilevel"/>
    <w:tmpl w:val="54F01140"/>
    <w:lvl w:ilvl="0">
      <w:start w:val="3"/>
      <w:numFmt w:val="decimal"/>
      <w:lvlText w:val="%1"/>
      <w:lvlJc w:val="left"/>
      <w:pPr>
        <w:ind w:left="600" w:hanging="600"/>
      </w:pPr>
      <w:rPr>
        <w:rFonts w:cs="Times New Roman" w:hint="default"/>
        <w:b/>
      </w:rPr>
    </w:lvl>
    <w:lvl w:ilvl="1">
      <w:start w:val="14"/>
      <w:numFmt w:val="decimal"/>
      <w:lvlText w:val="%1.%2"/>
      <w:lvlJc w:val="left"/>
      <w:pPr>
        <w:ind w:left="960" w:hanging="60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8">
    <w:nsid w:val="579073ED"/>
    <w:multiLevelType w:val="hybridMultilevel"/>
    <w:tmpl w:val="41CA2F74"/>
    <w:lvl w:ilvl="0" w:tplc="0C0A0005">
      <w:start w:val="1"/>
      <w:numFmt w:val="bullet"/>
      <w:lvlText w:val=""/>
      <w:lvlJc w:val="left"/>
      <w:pPr>
        <w:ind w:left="1287" w:hanging="360"/>
      </w:pPr>
      <w:rPr>
        <w:rFonts w:ascii="Wingdings" w:hAnsi="Wingdings" w:hint="default"/>
      </w:rPr>
    </w:lvl>
    <w:lvl w:ilvl="1" w:tplc="340A0003" w:tentative="1">
      <w:start w:val="1"/>
      <w:numFmt w:val="bullet"/>
      <w:lvlText w:val="o"/>
      <w:lvlJc w:val="left"/>
      <w:pPr>
        <w:ind w:left="2007" w:hanging="360"/>
      </w:pPr>
      <w:rPr>
        <w:rFonts w:ascii="Courier New" w:hAnsi="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9">
    <w:nsid w:val="65E8442B"/>
    <w:multiLevelType w:val="hybridMultilevel"/>
    <w:tmpl w:val="7158D948"/>
    <w:lvl w:ilvl="0" w:tplc="340A0017">
      <w:start w:val="1"/>
      <w:numFmt w:val="lowerLetter"/>
      <w:lvlText w:val="%1)"/>
      <w:lvlJc w:val="left"/>
      <w:pPr>
        <w:ind w:left="2345" w:hanging="360"/>
      </w:pPr>
      <w:rPr>
        <w:rFonts w:cs="Times New Roman"/>
      </w:rPr>
    </w:lvl>
    <w:lvl w:ilvl="1" w:tplc="5588C790">
      <w:start w:val="1"/>
      <w:numFmt w:val="lowerRoman"/>
      <w:lvlText w:val="(%2)"/>
      <w:lvlJc w:val="left"/>
      <w:pPr>
        <w:ind w:left="1800" w:hanging="720"/>
      </w:pPr>
      <w:rPr>
        <w:rFonts w:cs="Times New Roman" w:hint="default"/>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0">
    <w:nsid w:val="67543DA2"/>
    <w:multiLevelType w:val="hybridMultilevel"/>
    <w:tmpl w:val="234C623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6787704E"/>
    <w:multiLevelType w:val="hybridMultilevel"/>
    <w:tmpl w:val="56DCA448"/>
    <w:lvl w:ilvl="0" w:tplc="511C10C2">
      <w:start w:val="1"/>
      <w:numFmt w:val="decimal"/>
      <w:lvlText w:val="3.%1"/>
      <w:lvlJc w:val="left"/>
      <w:pPr>
        <w:ind w:left="927"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2">
    <w:nsid w:val="68485797"/>
    <w:multiLevelType w:val="hybridMultilevel"/>
    <w:tmpl w:val="43300EA2"/>
    <w:lvl w:ilvl="0" w:tplc="3A206F40">
      <w:start w:val="4"/>
      <w:numFmt w:val="lowerLetter"/>
      <w:lvlText w:val="%1)"/>
      <w:lvlJc w:val="left"/>
      <w:pPr>
        <w:ind w:left="786" w:hanging="360"/>
      </w:pPr>
      <w:rPr>
        <w:rFonts w:cs="Times New Roman" w:hint="default"/>
      </w:rPr>
    </w:lvl>
    <w:lvl w:ilvl="1" w:tplc="340A0019" w:tentative="1">
      <w:start w:val="1"/>
      <w:numFmt w:val="lowerLetter"/>
      <w:lvlText w:val="%2."/>
      <w:lvlJc w:val="left"/>
      <w:pPr>
        <w:ind w:left="1506" w:hanging="360"/>
      </w:pPr>
      <w:rPr>
        <w:rFonts w:cs="Times New Roman"/>
      </w:rPr>
    </w:lvl>
    <w:lvl w:ilvl="2" w:tplc="340A001B" w:tentative="1">
      <w:start w:val="1"/>
      <w:numFmt w:val="lowerRoman"/>
      <w:lvlText w:val="%3."/>
      <w:lvlJc w:val="right"/>
      <w:pPr>
        <w:ind w:left="2226" w:hanging="180"/>
      </w:pPr>
      <w:rPr>
        <w:rFonts w:cs="Times New Roman"/>
      </w:rPr>
    </w:lvl>
    <w:lvl w:ilvl="3" w:tplc="340A000F" w:tentative="1">
      <w:start w:val="1"/>
      <w:numFmt w:val="decimal"/>
      <w:lvlText w:val="%4."/>
      <w:lvlJc w:val="left"/>
      <w:pPr>
        <w:ind w:left="2946" w:hanging="360"/>
      </w:pPr>
      <w:rPr>
        <w:rFonts w:cs="Times New Roman"/>
      </w:rPr>
    </w:lvl>
    <w:lvl w:ilvl="4" w:tplc="340A0019" w:tentative="1">
      <w:start w:val="1"/>
      <w:numFmt w:val="lowerLetter"/>
      <w:lvlText w:val="%5."/>
      <w:lvlJc w:val="left"/>
      <w:pPr>
        <w:ind w:left="3666" w:hanging="360"/>
      </w:pPr>
      <w:rPr>
        <w:rFonts w:cs="Times New Roman"/>
      </w:rPr>
    </w:lvl>
    <w:lvl w:ilvl="5" w:tplc="340A001B" w:tentative="1">
      <w:start w:val="1"/>
      <w:numFmt w:val="lowerRoman"/>
      <w:lvlText w:val="%6."/>
      <w:lvlJc w:val="right"/>
      <w:pPr>
        <w:ind w:left="4386" w:hanging="180"/>
      </w:pPr>
      <w:rPr>
        <w:rFonts w:cs="Times New Roman"/>
      </w:rPr>
    </w:lvl>
    <w:lvl w:ilvl="6" w:tplc="340A000F" w:tentative="1">
      <w:start w:val="1"/>
      <w:numFmt w:val="decimal"/>
      <w:lvlText w:val="%7."/>
      <w:lvlJc w:val="left"/>
      <w:pPr>
        <w:ind w:left="5106" w:hanging="360"/>
      </w:pPr>
      <w:rPr>
        <w:rFonts w:cs="Times New Roman"/>
      </w:rPr>
    </w:lvl>
    <w:lvl w:ilvl="7" w:tplc="340A0019" w:tentative="1">
      <w:start w:val="1"/>
      <w:numFmt w:val="lowerLetter"/>
      <w:lvlText w:val="%8."/>
      <w:lvlJc w:val="left"/>
      <w:pPr>
        <w:ind w:left="5826" w:hanging="360"/>
      </w:pPr>
      <w:rPr>
        <w:rFonts w:cs="Times New Roman"/>
      </w:rPr>
    </w:lvl>
    <w:lvl w:ilvl="8" w:tplc="340A001B" w:tentative="1">
      <w:start w:val="1"/>
      <w:numFmt w:val="lowerRoman"/>
      <w:lvlText w:val="%9."/>
      <w:lvlJc w:val="right"/>
      <w:pPr>
        <w:ind w:left="6546" w:hanging="180"/>
      </w:pPr>
      <w:rPr>
        <w:rFonts w:cs="Times New Roman"/>
      </w:rPr>
    </w:lvl>
  </w:abstractNum>
  <w:abstractNum w:abstractNumId="13">
    <w:nsid w:val="6EDE180A"/>
    <w:multiLevelType w:val="hybridMultilevel"/>
    <w:tmpl w:val="404C2948"/>
    <w:lvl w:ilvl="0" w:tplc="E9ECC27C">
      <w:start w:val="1"/>
      <w:numFmt w:val="lowerLetter"/>
      <w:lvlText w:val="%1)"/>
      <w:lvlJc w:val="left"/>
      <w:pPr>
        <w:ind w:left="927" w:hanging="360"/>
      </w:pPr>
      <w:rPr>
        <w:rFonts w:cs="Times New Roman" w:hint="default"/>
      </w:rPr>
    </w:lvl>
    <w:lvl w:ilvl="1" w:tplc="0D360C9C">
      <w:numFmt w:val="bullet"/>
      <w:lvlText w:val="•"/>
      <w:lvlJc w:val="left"/>
      <w:pPr>
        <w:ind w:left="1647" w:hanging="360"/>
      </w:pPr>
      <w:rPr>
        <w:rFonts w:ascii="Times New Roman" w:eastAsia="Times New Roman" w:hAnsi="Times New Roman" w:hint="default"/>
      </w:rPr>
    </w:lvl>
    <w:lvl w:ilvl="2" w:tplc="340A001B" w:tentative="1">
      <w:start w:val="1"/>
      <w:numFmt w:val="lowerRoman"/>
      <w:lvlText w:val="%3."/>
      <w:lvlJc w:val="right"/>
      <w:pPr>
        <w:ind w:left="2367" w:hanging="180"/>
      </w:pPr>
      <w:rPr>
        <w:rFonts w:cs="Times New Roman"/>
      </w:rPr>
    </w:lvl>
    <w:lvl w:ilvl="3" w:tplc="340A000F" w:tentative="1">
      <w:start w:val="1"/>
      <w:numFmt w:val="decimal"/>
      <w:lvlText w:val="%4."/>
      <w:lvlJc w:val="left"/>
      <w:pPr>
        <w:ind w:left="3087" w:hanging="360"/>
      </w:pPr>
      <w:rPr>
        <w:rFonts w:cs="Times New Roman"/>
      </w:rPr>
    </w:lvl>
    <w:lvl w:ilvl="4" w:tplc="340A0019" w:tentative="1">
      <w:start w:val="1"/>
      <w:numFmt w:val="lowerLetter"/>
      <w:lvlText w:val="%5."/>
      <w:lvlJc w:val="left"/>
      <w:pPr>
        <w:ind w:left="3807" w:hanging="360"/>
      </w:pPr>
      <w:rPr>
        <w:rFonts w:cs="Times New Roman"/>
      </w:rPr>
    </w:lvl>
    <w:lvl w:ilvl="5" w:tplc="340A001B" w:tentative="1">
      <w:start w:val="1"/>
      <w:numFmt w:val="lowerRoman"/>
      <w:lvlText w:val="%6."/>
      <w:lvlJc w:val="right"/>
      <w:pPr>
        <w:ind w:left="4527" w:hanging="180"/>
      </w:pPr>
      <w:rPr>
        <w:rFonts w:cs="Times New Roman"/>
      </w:rPr>
    </w:lvl>
    <w:lvl w:ilvl="6" w:tplc="340A000F" w:tentative="1">
      <w:start w:val="1"/>
      <w:numFmt w:val="decimal"/>
      <w:lvlText w:val="%7."/>
      <w:lvlJc w:val="left"/>
      <w:pPr>
        <w:ind w:left="5247" w:hanging="360"/>
      </w:pPr>
      <w:rPr>
        <w:rFonts w:cs="Times New Roman"/>
      </w:rPr>
    </w:lvl>
    <w:lvl w:ilvl="7" w:tplc="340A0019" w:tentative="1">
      <w:start w:val="1"/>
      <w:numFmt w:val="lowerLetter"/>
      <w:lvlText w:val="%8."/>
      <w:lvlJc w:val="left"/>
      <w:pPr>
        <w:ind w:left="5967" w:hanging="360"/>
      </w:pPr>
      <w:rPr>
        <w:rFonts w:cs="Times New Roman"/>
      </w:rPr>
    </w:lvl>
    <w:lvl w:ilvl="8" w:tplc="340A001B" w:tentative="1">
      <w:start w:val="1"/>
      <w:numFmt w:val="lowerRoman"/>
      <w:lvlText w:val="%9."/>
      <w:lvlJc w:val="right"/>
      <w:pPr>
        <w:ind w:left="6687" w:hanging="180"/>
      </w:pPr>
      <w:rPr>
        <w:rFonts w:cs="Times New Roman"/>
      </w:rPr>
    </w:lvl>
  </w:abstractNum>
  <w:abstractNum w:abstractNumId="14">
    <w:nsid w:val="73A67547"/>
    <w:multiLevelType w:val="hybridMultilevel"/>
    <w:tmpl w:val="03AE9CFA"/>
    <w:lvl w:ilvl="0" w:tplc="0A0CA9DC">
      <w:start w:val="1"/>
      <w:numFmt w:val="lowerLetter"/>
      <w:lvlText w:val="%1)"/>
      <w:lvlJc w:val="left"/>
      <w:pPr>
        <w:ind w:left="927" w:hanging="360"/>
      </w:pPr>
      <w:rPr>
        <w:rFonts w:cs="Times New Roman" w:hint="default"/>
      </w:rPr>
    </w:lvl>
    <w:lvl w:ilvl="1" w:tplc="340A0019" w:tentative="1">
      <w:start w:val="1"/>
      <w:numFmt w:val="lowerLetter"/>
      <w:lvlText w:val="%2."/>
      <w:lvlJc w:val="left"/>
      <w:pPr>
        <w:ind w:left="1647" w:hanging="360"/>
      </w:pPr>
      <w:rPr>
        <w:rFonts w:cs="Times New Roman"/>
      </w:rPr>
    </w:lvl>
    <w:lvl w:ilvl="2" w:tplc="340A001B" w:tentative="1">
      <w:start w:val="1"/>
      <w:numFmt w:val="lowerRoman"/>
      <w:lvlText w:val="%3."/>
      <w:lvlJc w:val="right"/>
      <w:pPr>
        <w:ind w:left="2367" w:hanging="180"/>
      </w:pPr>
      <w:rPr>
        <w:rFonts w:cs="Times New Roman"/>
      </w:rPr>
    </w:lvl>
    <w:lvl w:ilvl="3" w:tplc="340A000F" w:tentative="1">
      <w:start w:val="1"/>
      <w:numFmt w:val="decimal"/>
      <w:lvlText w:val="%4."/>
      <w:lvlJc w:val="left"/>
      <w:pPr>
        <w:ind w:left="3087" w:hanging="360"/>
      </w:pPr>
      <w:rPr>
        <w:rFonts w:cs="Times New Roman"/>
      </w:rPr>
    </w:lvl>
    <w:lvl w:ilvl="4" w:tplc="340A0019" w:tentative="1">
      <w:start w:val="1"/>
      <w:numFmt w:val="lowerLetter"/>
      <w:lvlText w:val="%5."/>
      <w:lvlJc w:val="left"/>
      <w:pPr>
        <w:ind w:left="3807" w:hanging="360"/>
      </w:pPr>
      <w:rPr>
        <w:rFonts w:cs="Times New Roman"/>
      </w:rPr>
    </w:lvl>
    <w:lvl w:ilvl="5" w:tplc="340A001B" w:tentative="1">
      <w:start w:val="1"/>
      <w:numFmt w:val="lowerRoman"/>
      <w:lvlText w:val="%6."/>
      <w:lvlJc w:val="right"/>
      <w:pPr>
        <w:ind w:left="4527" w:hanging="180"/>
      </w:pPr>
      <w:rPr>
        <w:rFonts w:cs="Times New Roman"/>
      </w:rPr>
    </w:lvl>
    <w:lvl w:ilvl="6" w:tplc="340A000F" w:tentative="1">
      <w:start w:val="1"/>
      <w:numFmt w:val="decimal"/>
      <w:lvlText w:val="%7."/>
      <w:lvlJc w:val="left"/>
      <w:pPr>
        <w:ind w:left="5247" w:hanging="360"/>
      </w:pPr>
      <w:rPr>
        <w:rFonts w:cs="Times New Roman"/>
      </w:rPr>
    </w:lvl>
    <w:lvl w:ilvl="7" w:tplc="340A0019" w:tentative="1">
      <w:start w:val="1"/>
      <w:numFmt w:val="lowerLetter"/>
      <w:lvlText w:val="%8."/>
      <w:lvlJc w:val="left"/>
      <w:pPr>
        <w:ind w:left="5967" w:hanging="360"/>
      </w:pPr>
      <w:rPr>
        <w:rFonts w:cs="Times New Roman"/>
      </w:rPr>
    </w:lvl>
    <w:lvl w:ilvl="8" w:tplc="340A001B" w:tentative="1">
      <w:start w:val="1"/>
      <w:numFmt w:val="lowerRoman"/>
      <w:lvlText w:val="%9."/>
      <w:lvlJc w:val="right"/>
      <w:pPr>
        <w:ind w:left="6687" w:hanging="180"/>
      </w:pPr>
      <w:rPr>
        <w:rFonts w:cs="Times New Roman"/>
      </w:rPr>
    </w:lvl>
  </w:abstractNum>
  <w:abstractNum w:abstractNumId="15">
    <w:nsid w:val="76060EB3"/>
    <w:multiLevelType w:val="multilevel"/>
    <w:tmpl w:val="BBE254AC"/>
    <w:lvl w:ilvl="0">
      <w:start w:val="3"/>
      <w:numFmt w:val="decimal"/>
      <w:lvlText w:val="%1."/>
      <w:lvlJc w:val="left"/>
      <w:pPr>
        <w:ind w:left="360" w:hanging="360"/>
      </w:pPr>
      <w:rPr>
        <w:rFonts w:cs="Times New Roman" w:hint="default"/>
      </w:rPr>
    </w:lvl>
    <w:lvl w:ilvl="1">
      <w:start w:val="6"/>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num w:numId="1">
    <w:abstractNumId w:val="6"/>
  </w:num>
  <w:num w:numId="2">
    <w:abstractNumId w:val="1"/>
  </w:num>
  <w:num w:numId="3">
    <w:abstractNumId w:val="12"/>
  </w:num>
  <w:num w:numId="4">
    <w:abstractNumId w:val="10"/>
  </w:num>
  <w:num w:numId="5">
    <w:abstractNumId w:val="9"/>
  </w:num>
  <w:num w:numId="6">
    <w:abstractNumId w:val="3"/>
  </w:num>
  <w:num w:numId="7">
    <w:abstractNumId w:val="14"/>
  </w:num>
  <w:num w:numId="8">
    <w:abstractNumId w:val="13"/>
  </w:num>
  <w:num w:numId="9">
    <w:abstractNumId w:val="4"/>
  </w:num>
  <w:num w:numId="10">
    <w:abstractNumId w:val="8"/>
  </w:num>
  <w:num w:numId="11">
    <w:abstractNumId w:val="11"/>
  </w:num>
  <w:num w:numId="12">
    <w:abstractNumId w:val="15"/>
  </w:num>
  <w:num w:numId="13">
    <w:abstractNumId w:val="5"/>
  </w:num>
  <w:num w:numId="14">
    <w:abstractNumId w:val="7"/>
  </w:num>
  <w:num w:numId="15">
    <w:abstractNumId w:val="0"/>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7DA1"/>
    <w:rsid w:val="00060CF8"/>
    <w:rsid w:val="000710EE"/>
    <w:rsid w:val="000B2A1C"/>
    <w:rsid w:val="000B66A0"/>
    <w:rsid w:val="000C7870"/>
    <w:rsid w:val="000D6B5F"/>
    <w:rsid w:val="00113547"/>
    <w:rsid w:val="00141D08"/>
    <w:rsid w:val="001A1827"/>
    <w:rsid w:val="001D25DC"/>
    <w:rsid w:val="00214AC8"/>
    <w:rsid w:val="00240092"/>
    <w:rsid w:val="002B73CF"/>
    <w:rsid w:val="002E6365"/>
    <w:rsid w:val="0036577B"/>
    <w:rsid w:val="003708A2"/>
    <w:rsid w:val="0039183A"/>
    <w:rsid w:val="003E48A1"/>
    <w:rsid w:val="004B5349"/>
    <w:rsid w:val="00521604"/>
    <w:rsid w:val="0052256C"/>
    <w:rsid w:val="00522B1E"/>
    <w:rsid w:val="006368FC"/>
    <w:rsid w:val="006966C5"/>
    <w:rsid w:val="006D35F0"/>
    <w:rsid w:val="006D61C4"/>
    <w:rsid w:val="0073039B"/>
    <w:rsid w:val="00893D6C"/>
    <w:rsid w:val="009126A8"/>
    <w:rsid w:val="009E79B0"/>
    <w:rsid w:val="00A34149"/>
    <w:rsid w:val="00B153C1"/>
    <w:rsid w:val="00B57DA1"/>
    <w:rsid w:val="00B71DDF"/>
    <w:rsid w:val="00BB1793"/>
    <w:rsid w:val="00BD34CA"/>
    <w:rsid w:val="00BE62A2"/>
    <w:rsid w:val="00BF3BB0"/>
    <w:rsid w:val="00CD081F"/>
    <w:rsid w:val="00D17446"/>
    <w:rsid w:val="00D21AEF"/>
    <w:rsid w:val="00D41BFE"/>
    <w:rsid w:val="00D71A0F"/>
    <w:rsid w:val="00DA060F"/>
    <w:rsid w:val="00DC12F3"/>
    <w:rsid w:val="00E56633"/>
    <w:rsid w:val="00F62649"/>
    <w:rsid w:val="00F70101"/>
  </w:rsids>
  <m:mathPr>
    <m:mathFont m:val="Cambria Math"/>
    <m:brkBin m:val="before"/>
    <m:brkBinSub m:val="--"/>
    <m:smallFrac m:val="off"/>
    <m:dispDef/>
    <m:lMargin m:val="0"/>
    <m:rMargin m:val="0"/>
    <m:defJc m:val="centerGroup"/>
    <m:wrapIndent m:val="1440"/>
    <m:intLim m:val="subSup"/>
    <m:naryLim m:val="undOvr"/>
  </m:mathPr>
  <w:uiCompat97To2003/>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CL" w:eastAsia="es-C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6A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368FC"/>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3E48A1"/>
    <w:pPr>
      <w:spacing w:after="0" w:line="240" w:lineRule="auto"/>
      <w:ind w:left="720"/>
    </w:pPr>
    <w:rPr>
      <w:rFonts w:ascii="Times New Roman" w:eastAsia="Times New Roman" w:hAnsi="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4999262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Hoja_de_c_lculo_de_Microsoft_Office_Excel22.xlsx"/><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package" Target="embeddings/Hoja_de_c_lculo_de_Microsoft_Office_Excel44.xlsx"/><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package" Target="embeddings/Hoja_de_c_lculo_de_Microsoft_Office_Excel11.xlsx"/><Relationship Id="rId11" Type="http://schemas.openxmlformats.org/officeDocument/2006/relationships/image" Target="media/image4.emf"/><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package" Target="embeddings/Hoja_de_c_lculo_de_Microsoft_Office_Excel33.xlsx"/><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package" Target="embeddings/Hoja_de_c_lculo_de_Microsoft_Office_Excel55.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1751</Words>
  <Characters>8550</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DEPORTIVO UNIÓN SAN FELIPE S</dc:title>
  <dc:subject/>
  <dc:creator>Futbol Joven</dc:creator>
  <cp:keywords/>
  <dc:description/>
  <cp:lastModifiedBy>sperez</cp:lastModifiedBy>
  <cp:revision>2</cp:revision>
  <cp:lastPrinted>2011-04-26T19:31:00Z</cp:lastPrinted>
  <dcterms:created xsi:type="dcterms:W3CDTF">2014-05-05T13:16:00Z</dcterms:created>
  <dcterms:modified xsi:type="dcterms:W3CDTF">2014-05-05T13:16:00Z</dcterms:modified>
</cp:coreProperties>
</file>